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1 October 2026 for the re-issued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1 October 2026 for checklist v3.2: the test</w:t>
      </w:r>
      <w:r>
        <w:t xml:space="preserve"> </w:t>
      </w:r>
      <w:r>
        <w:t xml:space="preserve">count (453), the tallies and the rebuild of the published report were re-measured</w:t>
      </w:r>
      <w:r>
        <w:t xml:space="preserve"> </w:t>
      </w:r>
      <w:r>
        <w:t xml:space="preserve">offline that day, again without contacting any node from the sandbox.</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1 October 2026.</w:t>
      </w:r>
      <w:r>
        <w:t xml:space="preserve"> </w:t>
      </w:r>
      <w:r>
        <w:rPr>
          <w:rStyle w:val="VerbatimChar"/>
        </w:rPr>
        <w:t xml:space="preserve">results/</w:t>
      </w:r>
      <w:r>
        <w:t xml:space="preserve"> </w:t>
      </w:r>
      <w:r>
        <w:t xml:space="preserve">now holds</w:t>
      </w:r>
      <w:r>
        <w:t xml:space="preserve"> </w:t>
      </w:r>
      <w:r>
        <w:t xml:space="preserve">run</w:t>
      </w:r>
      <w:r>
        <w:t xml:space="preserve"> </w:t>
      </w:r>
      <w:r>
        <w:rPr>
          <w:rStyle w:val="VerbatimChar"/>
        </w:rPr>
        <w:t xml:space="preserve">web-18</w:t>
      </w:r>
      <w:r>
        <w:t xml:space="preserve">, collected by the GitHub workflow at</w:t>
      </w:r>
      <w:r>
        <w:t xml:space="preserve"> </w:t>
      </w:r>
      <w:r>
        <w:rPr>
          <w:rStyle w:val="VerbatimChar"/>
        </w:rPr>
        <w:t xml:space="preserve">--depth 2</w:t>
      </w:r>
      <w:r>
        <w:t xml:space="preserve"> </w:t>
      </w:r>
      <w:r>
        <w:t xml:space="preserve">on 1 October</w:t>
      </w:r>
      <w:r>
        <w:t xml:space="preserve"> </w:t>
      </w:r>
      <w:r>
        <w:t xml:space="preserve">2026 from all thirteen nodes (</w:t>
      </w:r>
      <w:hyperlink r:id="rId10">
        <w:r>
          <w:rPr>
            <w:rStyle w:val="Hyperlink"/>
          </w:rPr>
          <w:t xml:space="preserve">run 36888865559</w:t>
        </w:r>
      </w:hyperlink>
      <w:r>
        <w:t xml:space="preserve">, commit</w:t>
      </w:r>
      <w:r>
        <w:t xml:space="preserve"> </w:t>
      </w:r>
      <w:r>
        <w:rPr>
          <w:rStyle w:val="VerbatimChar"/>
        </w:rPr>
        <w:t xml:space="preserve">46b5cad</w:t>
      </w:r>
      <w:r>
        <w:t xml:space="preserve">), under the re-issued</w:t>
      </w:r>
      <w:r>
        <w:t xml:space="preserve"> </w:t>
      </w:r>
      <w:r>
        <w:t xml:space="preserve">v3.2: 60 PASS, 6 FAIL and 64 MANUAL_REVIEW at both depths. Italy was read at</w:t>
      </w:r>
      <w:r>
        <w:t xml:space="preserve"> </w:t>
      </w:r>
      <w:r>
        <w:t xml:space="preserve">its new address,</w:t>
      </w:r>
      <w:r>
        <w:t xml:space="preserve"> </w:t>
      </w:r>
      <w:r>
        <w:rPr>
          <w:rStyle w:val="VerbatimChar"/>
        </w:rPr>
        <w:t xml:space="preserve">https://eosc.it/</w:t>
      </w:r>
      <w:r>
        <w:t xml:space="preserve">. BBMRI-ERIC's row comes from a separate</w:t>
      </w:r>
      <w:r>
        <w:t xml:space="preserve"> </w:t>
      </w:r>
      <w:r>
        <w:t xml:space="preserve">single-node run from the</w:t>
      </w:r>
      <w:r>
        <w:t xml:space="preserve"> </w:t>
      </w:r>
      <w:r>
        <w:rPr>
          <w:rStyle w:val="VerbatimChar"/>
        </w:rPr>
        <w:t xml:space="preserve">www.</w:t>
      </w:r>
      <w:r>
        <w:t xml:space="preserve"> </w:t>
      </w:r>
      <w:r>
        <w:t xml:space="preserve">address (</w:t>
      </w:r>
      <w:hyperlink r:id="rId11">
        <w:r>
          <w:rPr>
            <w:rStyle w:val="Hyperlink"/>
          </w:rPr>
          <w:t xml:space="preserve">run 36899901060</w:t>
        </w:r>
      </w:hyperlink>
      <w:r>
        <w:t xml:space="preserve">), because the</w:t>
      </w:r>
      <w:r>
        <w:t xml:space="preserve"> </w:t>
      </w:r>
      <w:r>
        <w:rPr>
          <w:rStyle w:val="VerbatimChar"/>
        </w:rPr>
        <w:t xml:space="preserve">dev3.</w:t>
      </w:r>
      <w:r>
        <w:t xml:space="preserve"> </w:t>
      </w:r>
      <w:r>
        <w:t xml:space="preserve">address</w:t>
      </w:r>
      <w:r>
        <w:t xml:space="preserve"> </w:t>
      </w:r>
      <w:r>
        <w:t xml:space="preserve">tried first is disallowed by its</w:t>
      </w:r>
      <w:r>
        <w:t xml:space="preserve"> </w:t>
      </w:r>
      <w:r>
        <w:rPr>
          <w:rStyle w:val="VerbatimChar"/>
        </w:rPr>
        <w:t xml:space="preserve">robots.txt</w:t>
      </w:r>
      <w:r>
        <w:t xml:space="preserve">. The run was scored with the 5b</w:t>
      </w:r>
      <w:r>
        <w:t xml:space="preserve"> </w:t>
      </w:r>
      <w:r>
        <w:t xml:space="preserve">and 5c fix of commit</w:t>
      </w:r>
      <w:r>
        <w:t xml:space="preserve"> </w:t>
      </w:r>
      <w:r>
        <w:rPr>
          <w:rStyle w:val="VerbatimChar"/>
        </w:rPr>
        <w:t xml:space="preserve">1418f05</w:t>
      </w:r>
      <w:r>
        <w:t xml:space="preserve"> </w:t>
      </w:r>
      <w:r>
        <w:t xml:space="preserve">(one broken policy link no longer fails the</w:t>
      </w:r>
      <w:r>
        <w:t xml:space="preserve"> </w:t>
      </w:r>
      <w:r>
        <w:t xml:space="preserve">point when other links to the policy remain). Before it came</w:t>
      </w:r>
      <w:r>
        <w:t xml:space="preserve"> </w:t>
      </w:r>
      <w:r>
        <w:rPr>
          <w:rStyle w:val="VerbatimChar"/>
        </w:rPr>
        <w:t xml:space="preserve">web-16</w:t>
      </w:r>
      <w:r>
        <w:t xml:space="preserve"> </w:t>
      </w:r>
      <w:r>
        <w:t xml:space="preserve">(</w:t>
      </w:r>
      <w:hyperlink r:id="rId12">
        <w:r>
          <w:rPr>
            <w:rStyle w:val="Hyperlink"/>
          </w:rPr>
          <w:t xml:space="preserve">run 36732900487</w:t>
        </w:r>
      </w:hyperlink>
      <w:r>
        <w:t xml:space="preserve">, 30 September, 57 / 6 / 67), in which GÉANT's page was served and</w:t>
      </w:r>
      <w:r>
        <w:t xml:space="preserve"> </w:t>
      </w:r>
      <w:r>
        <w:t xml:space="preserve">Italy's returned HTTP 503.</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3">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4">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5">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7"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6">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7"/>
    <w:bookmarkStart w:id="20"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8"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8"/>
    <w:bookmarkStart w:id="19"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9"/>
    <w:bookmarkEnd w:id="20"/>
    <w:bookmarkStart w:id="34"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2"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1">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 twice.</w:t>
      </w:r>
      <w:r>
        <w:t xml:space="preserve"> </w:t>
      </w:r>
      <w:r>
        <w:t xml:space="preserve">On 25 September 2026</w:t>
      </w:r>
      <w:r>
        <w:t xml:space="preserve"> </w:t>
      </w:r>
      <w:r>
        <w:t xml:space="preserve">it 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 was changed to the</w:t>
      </w:r>
      <w:r>
        <w:t xml:space="preserve"> </w:t>
      </w:r>
      <w:r>
        <w:rPr>
          <w:rStyle w:val="VerbatimChar"/>
        </w:rPr>
        <w:t xml:space="preserve">dev3.</w:t>
      </w:r>
      <w:r>
        <w:t xml:space="preserve"> </w:t>
      </w:r>
      <w:r>
        <w:t xml:space="preserve">address again, and set back the same day for the same reason (run</w:t>
      </w:r>
      <w:r>
        <w:t xml:space="preserve"> </w:t>
      </w:r>
      <w:r>
        <w:rPr>
          <w:rStyle w:val="VerbatimChar"/>
        </w:rPr>
        <w:t xml:space="preserve">web-18</w:t>
      </w:r>
      <w:r>
        <w:t xml:space="preserve"> </w:t>
      </w:r>
      <w:r>
        <w:t xml:space="preserve">found the page disallowed).</w:t>
      </w:r>
      <w:r>
        <w:t xml:space="preserve"> </w:t>
      </w:r>
      <w:r>
        <w:rPr>
          <w:rStyle w:val="VerbatimChar"/>
        </w:rPr>
        <w:t xml:space="preserve">nodes.yaml</w:t>
      </w:r>
      <w:r>
        <w:t xml:space="preserve"> </w:t>
      </w:r>
      <w:r>
        <w:t xml:space="preserve">carries a comment saying so.</w:t>
      </w:r>
      <w:r>
        <w:t xml:space="preserve"> </w:t>
      </w:r>
      <w:r>
        <w:t xml:space="preserve">The published run in</w:t>
      </w:r>
      <w:r>
        <w:t xml:space="preserve"> </w:t>
      </w:r>
      <w:r>
        <w:rPr>
          <w:rStyle w:val="VerbatimChar"/>
        </w:rPr>
        <w:t xml:space="preserve">results/</w:t>
      </w:r>
      <w:r>
        <w:t xml:space="preserve"> </w:t>
      </w:r>
      <w:r>
        <w:t xml:space="preserve">takes BBMRI-ERIC's row from a single-node run</w:t>
      </w:r>
      <w:r>
        <w:t xml:space="preserve"> </w:t>
      </w:r>
      <w:r>
        <w:t xml:space="preserve">from this</w:t>
      </w:r>
      <w:r>
        <w:t xml:space="preserve"> </w:t>
      </w:r>
      <w:r>
        <w:rPr>
          <w:rStyle w:val="VerbatimChar"/>
        </w:rPr>
        <w:t xml:space="preserve">www.</w:t>
      </w:r>
      <w:r>
        <w:t xml:space="preserve"> </w:t>
      </w:r>
      <w:r>
        <w:t xml:space="preserve">address, so the configuration and the published evidence</w:t>
      </w:r>
      <w:r>
        <w:t xml:space="preserve"> </w:t>
      </w:r>
      <w:r>
        <w:t xml:space="preserve">agree.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The published</w:t>
      </w:r>
      <w:r>
        <w:t xml:space="preserve"> </w:t>
      </w:r>
      <w:r>
        <w:t xml:space="preserve">run,</w:t>
      </w:r>
      <w:r>
        <w:t xml:space="preserve"> </w:t>
      </w:r>
      <w:r>
        <w:rPr>
          <w:rStyle w:val="VerbatimChar"/>
        </w:rPr>
        <w:t xml:space="preserve">web-18</w:t>
      </w:r>
      <w:r>
        <w:t xml:space="preserve">, was collected from</w:t>
      </w:r>
      <w:r>
        <w:t xml:space="preserve"> </w:t>
      </w:r>
      <w:r>
        <w:rPr>
          <w:rStyle w:val="VerbatimChar"/>
        </w:rPr>
        <w:t xml:space="preserve">https://eosc.it/</w:t>
      </w:r>
      <w:r>
        <w:t xml:space="preserve">.</w:t>
      </w:r>
    </w:p>
    <w:bookmarkEnd w:id="22"/>
    <w:bookmarkStart w:id="23"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web-18</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60 PASS, 6 FAIL and 64</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3"/>
    <w:bookmarkStart w:id="24"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4"/>
    <w:bookmarkStart w:id="31"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5"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5"/>
    <w:bookmarkStart w:id="26"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6"/>
    <w:bookmarkStart w:id="27"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7"/>
    <w:bookmarkStart w:id="28"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8"/>
    <w:bookmarkStart w:id="29"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9"/>
    <w:bookmarkStart w:id="30"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30"/>
    <w:bookmarkEnd w:id="31"/>
    <w:bookmarkStart w:id="32"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1">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2"/>
    <w:bookmarkStart w:id="33"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3"/>
    <w:bookmarkEnd w:id="34"/>
    <w:bookmarkStart w:id="43"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5"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5"/>
    <w:bookmarkStart w:id="36"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6"/>
    <w:bookmarkStart w:id="37"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7"/>
    <w:bookmarkStart w:id="38"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8"/>
    <w:bookmarkStart w:id="39"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9"/>
    <w:bookmarkStart w:id="40"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40"/>
    <w:bookmarkStart w:id="41"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1"/>
    <w:bookmarkStart w:id="42"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2"/>
    <w:bookmarkEnd w:id="43"/>
    <w:bookmarkStart w:id="45"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4"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4"/>
    <w:bookmarkEnd w:id="45"/>
    <w:bookmarkStart w:id="49"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6"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6"/>
    <w:bookmarkStart w:id="47"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7"/>
    <w:bookmarkStart w:id="48"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web-18</w:t>
      </w:r>
      <w:r>
        <w:t xml:space="preserve"> </w:t>
      </w:r>
      <w:r>
        <w:t xml:space="preserve">(1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w:t>
      </w:r>
      <w:r>
        <w:t xml:space="preserve">carry the same ones: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("Heidi Fraser-Kr…"). They were taken from the fixed patterns of those pages ("Representative:", "Substitute:", "… Chief … Officer", "… Member") and masked everywhere, truncated forms included.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8"/>
    <w:bookmarkEnd w:id="49"/>
    <w:bookmarkStart w:id="52"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50">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1"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1"/>
    <w:bookmarkEnd w:id="52"/>
    <w:bookmarkStart w:id="53"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3"/>
    <w:bookmarkStart w:id="54"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4"/>
    <w:bookmarkStart w:id="55"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5"/>
    <w:bookmarkStart w:id="59"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6"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60 PASS · 6 FAIL · 64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6"/>
    <w:bookmarkStart w:id="57"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7"/>
    <w:bookmarkStart w:id="58"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8"/>
    <w:bookmarkEnd w:id="59"/>
    <w:bookmarkStart w:id="60"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60"/>
    <w:sectPr>
      <w:footerReference w:type="default" r:id="rId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hyperlink" Target="https://docs.astral.sh/uv/" TargetMode="External"/><Relationship Id="rId21" Type="http://schemas.openxmlformats.org/officeDocument/2006/relationships/hyperlink" Target="https://eosc.eu/building-the-eosc-federation/" TargetMode="External"/><Relationship Id="rId15" Type="http://schemas.openxmlformats.org/officeDocument/2006/relationships/hyperlink" Target="https://github.com/marioreale/eosc-basic-compliance/actions/runs/36431202625" TargetMode="External"/><Relationship Id="rId14" Type="http://schemas.openxmlformats.org/officeDocument/2006/relationships/hyperlink" Target="https://github.com/marioreale/eosc-basic-compliance/actions/runs/36493197701" TargetMode="External"/><Relationship Id="rId13" Type="http://schemas.openxmlformats.org/officeDocument/2006/relationships/hyperlink" Target="https://github.com/marioreale/eosc-basic-compliance/actions/runs/36494907672" TargetMode="External"/><Relationship Id="rId12" Type="http://schemas.openxmlformats.org/officeDocument/2006/relationships/hyperlink" Target="https://github.com/marioreale/eosc-basic-compliance/actions/runs/36732900487" TargetMode="External"/><Relationship Id="rId10" Type="http://schemas.openxmlformats.org/officeDocument/2006/relationships/hyperlink" Target="https://github.com/marioreale/eosc-basic-compliance/actions/runs/36888865559" TargetMode="External"/><Relationship Id="rId11" Type="http://schemas.openxmlformats.org/officeDocument/2006/relationships/hyperlink" Target="https://github.com/marioreale/eosc-basic-compliance/actions/runs/36899901060" TargetMode="External"/><Relationship Id="rId9" Type="http://schemas.openxmlformats.org/officeDocument/2006/relationships/hyperlink" Target="https://github.com/marioreale/eosc-basic-compliance/blob/main/docs/ANALYSIS-WORKFLOW.md" TargetMode="External"/><Relationship Id="rId50" Type="http://schemas.openxmlformats.org/officeDocument/2006/relationships/hyperlink" Target="https://github.com/marioreale/eosc-basic-compliance/blob/main/docs/TEST-SUITE.md" TargetMode="Externa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16" Type="http://schemas.openxmlformats.org/officeDocument/2006/relationships/hyperlink" Target="https://docs.astral.sh/uv/" TargetMode="External"/><Relationship Id="rId21" Type="http://schemas.openxmlformats.org/officeDocument/2006/relationships/hyperlink" Target="https://eosc.eu/building-the-eosc-federation/" TargetMode="External"/><Relationship Id="rId15" Type="http://schemas.openxmlformats.org/officeDocument/2006/relationships/hyperlink" Target="https://github.com/marioreale/eosc-basic-compliance/actions/runs/36431202625" TargetMode="External"/><Relationship Id="rId14" Type="http://schemas.openxmlformats.org/officeDocument/2006/relationships/hyperlink" Target="https://github.com/marioreale/eosc-basic-compliance/actions/runs/36493197701" TargetMode="External"/><Relationship Id="rId13" Type="http://schemas.openxmlformats.org/officeDocument/2006/relationships/hyperlink" Target="https://github.com/marioreale/eosc-basic-compliance/actions/runs/36494907672" TargetMode="External"/><Relationship Id="rId12" Type="http://schemas.openxmlformats.org/officeDocument/2006/relationships/hyperlink" Target="https://github.com/marioreale/eosc-basic-compliance/actions/runs/36732900487" TargetMode="External"/><Relationship Id="rId10" Type="http://schemas.openxmlformats.org/officeDocument/2006/relationships/hyperlink" Target="https://github.com/marioreale/eosc-basic-compliance/actions/runs/36888865559" TargetMode="External"/><Relationship Id="rId11" Type="http://schemas.openxmlformats.org/officeDocument/2006/relationships/hyperlink" Target="https://github.com/marioreale/eosc-basic-compliance/actions/runs/36899901060" TargetMode="External"/><Relationship Id="rId9" Type="http://schemas.openxmlformats.org/officeDocument/2006/relationships/hyperlink" Target="https://github.com/marioreale/eosc-basic-compliance/blob/main/docs/ANALYSIS-WORKFLOW.md" TargetMode="External"/><Relationship Id="rId50"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1 October 2026 for the re-issued checklist v3.2</dc:creator>
  <dc:language>en-GB</dc:language>
  <cp:keywords/>
  <dcterms:created xsi:type="dcterms:W3CDTF">2026-10-01T17:39:25Z</dcterms:created>
  <dcterms:modified xsi:type="dcterms:W3CDTF">2026-10-01T17:39:25Z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