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0cc33c2, 333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0cc33c2</w:t>
      </w:r>
      <w:r>
        <w:t xml:space="preserve">, which added the command-line help tests:</w:t>
      </w:r>
      <w:r>
        <w:t xml:space="preserve"> </w:t>
      </w:r>
      <w:r>
        <w:rPr>
          <w:b/>
          <w:bCs/>
        </w:rPr>
        <w:t xml:space="preserve">333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333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333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and to 333 with four tests that keep the command-line help complete.</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4,426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982,</w:t>
      </w:r>
      <w:r>
        <w:t xml:space="preserve"> </w:t>
      </w:r>
      <w:r>
        <w:rPr>
          <w:rStyle w:val="VerbatimChar"/>
        </w:rPr>
        <w:t xml:space="preserve">cli.py</w:t>
      </w:r>
      <w:r>
        <w:t xml:space="preserve"> </w:t>
      </w:r>
      <w:r>
        <w:t xml:space="preserve">784,</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3,344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271 test functions, expanding to 333 executed cases</w:t>
      </w:r>
      <w:r>
        <w:t xml:space="preserve"> </w:t>
      </w:r>
      <w:r>
        <w:t xml:space="preserve">(twelve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333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35</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48</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w:t>
            </w:r>
          </w:p>
        </w:tc>
      </w:tr>
      <w:tr>
        <w:trPr>
          <w:cantSplit/>
        </w:trPr>
        <w:tc>
          <w:tcPr/>
          <w:p>
            <w:pPr>
              <w:pStyle w:val="Compact"/>
            </w:pPr>
            <w:r>
              <w:rPr>
                <w:rStyle w:val="VerbatimChar"/>
              </w:rPr>
              <w:t xml:space="preserve">test_checklist.py</w:t>
            </w:r>
          </w:p>
        </w:tc>
        <w:tc>
          <w:tcPr/>
          <w:p>
            <w:pPr>
              <w:pStyle w:val="Compact"/>
            </w:pPr>
            <w:r>
              <w:t xml:space="preserve">12</w:t>
            </w:r>
          </w:p>
        </w:tc>
        <w:tc>
          <w:tcPr/>
          <w:p>
            <w:pPr>
              <w:pStyle w:val="Compact"/>
            </w:pPr>
            <w:r>
              <w:t xml:space="preserve">Provenance of the checklist: source document hash, point-to-rule mapping, version/filename convention</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333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Twelve tests assert that the checklist YAML and the rules stay in step: the source document is committed and still hashes to what was transcribed, every point names the function that decides it, every function is claimed by exactly one point, and a revision must arrive as a new file.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would head BBMRI-ERIC's row with the new address above verdicts taken from the old page. Until the published run is replaced by a new reviewed one, rebuild it with the node list it was collected with. This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runs)</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It is selected with</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Nothing else in the codebase hardcodes a path to it.</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4"/>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4"/>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4"/>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-c</w:t>
      </w:r>
      <w:r>
        <w:rPr>
          <w:rStyle w:val="NormalTok"/>
        </w:rPr>
        <w:t xml:space="preserve"> checklist/v3.1.yaml</w:t>
      </w:r>
    </w:p>
    <w:p>
      <w:pPr>
        <w:pStyle w:val="FirstParagraph"/>
      </w:pPr>
      <w:r>
        <w:t xml:space="preserve">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"333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5"/>
        </w:numPr>
      </w:pPr>
      <w:r>
        <w:t xml:space="preserve">Open the</w:t>
      </w:r>
      <w:r>
        <w:t xml:space="preserve"> </w:t>
      </w:r>
      <w:r>
        <w:rPr>
          <w:b/>
          <w:bCs/>
        </w:rPr>
        <w:t xml:space="preserve">Actions</w:t>
      </w:r>
      <w:r>
        <w:t xml:space="preserve"> </w:t>
      </w:r>
      <w:r>
        <w:t xml:space="preserve">tab of the repository.</w:t>
      </w:r>
    </w:p>
    <w:p>
      <w:pPr>
        <w:pStyle w:val="Compact"/>
        <w:numPr>
          <w:ilvl w:val="0"/>
          <w:numId w:val="1005"/>
        </w:numPr>
      </w:pPr>
      <w:r>
        <w:t xml:space="preserve">Click</w:t>
      </w:r>
      <w:r>
        <w:t xml:space="preserve"> </w:t>
      </w:r>
      <w:r>
        <w:rPr>
          <w:b/>
          <w:bCs/>
        </w:rPr>
        <w:t xml:space="preserve">compliance run</w:t>
      </w:r>
      <w:r>
        <w:t xml:space="preserve"> </w:t>
      </w:r>
      <w:r>
        <w:t xml:space="preserve">in the left-hand sidebar.</w:t>
      </w:r>
    </w:p>
    <w:p>
      <w:pPr>
        <w:pStyle w:val="Compact"/>
        <w:numPr>
          <w:ilvl w:val="0"/>
          <w:numId w:val="1005"/>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5"/>
        </w:numPr>
      </w:pPr>
      <w:r>
        <w:t xml:space="preserve">Leave the three fields at their defaults for every configured node at depth 1, or fill them in.</w:t>
      </w:r>
    </w:p>
    <w:p>
      <w:pPr>
        <w:pStyle w:val="Compact"/>
        <w:numPr>
          <w:ilvl w:val="0"/>
          <w:numId w:val="1005"/>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5"/>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5"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6"/>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6"/>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4"/>
    <w:bookmarkEnd w:id="35"/>
    <w:bookmarkStart w:id="36"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6"/>
    <w:bookmarkStart w:id="39"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7"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333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7"/>
    <w:bookmarkStart w:id="38"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8"/>
    <w:bookmarkEnd w:id="39"/>
    <w:bookmarkStart w:id="45" w:name="the-published-figures"/>
    <w:p>
      <w:pPr>
        <w:pStyle w:val="Heading2"/>
      </w:pPr>
      <w:r>
        <w:t xml:space="preserve">10. The published figures</w:t>
      </w:r>
    </w:p>
    <w:bookmarkStart w:id="40"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0"/>
    <w:bookmarkStart w:id="41"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7"/>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7"/>
        </w:numPr>
      </w:pPr>
      <w:r>
        <w:t xml:space="preserve">GÉANT answered HTTP 403 with the Cloudflare challenge again, and its decided cells moved to review, as on 21 September.</w:t>
      </w:r>
    </w:p>
    <w:bookmarkEnd w:id="41"/>
    <w:bookmarkStart w:id="42"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8"/>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8"/>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8"/>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2"/>
    <w:bookmarkStart w:id="43"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3"/>
    <w:bookmarkStart w:id="44"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09"/>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09"/>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09"/>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p>
      <w:r>
        <w:pict>
          <v:rect style="width:0;height:1.5pt" o:hralign="center" o:hrstd="t" o:hr="t"/>
        </w:pict>
      </w:r>
    </w:p>
    <w:bookmarkEnd w:id="44"/>
    <w:bookmarkEnd w:id="45"/>
    <w:bookmarkStart w:id="48" w:name="sources"/>
    <w:p>
      <w:pPr>
        <w:pStyle w:val="Heading2"/>
      </w:pPr>
      <w:r>
        <w:t xml:space="preserve">Sources</w:t>
      </w:r>
    </w:p>
    <w:p>
      <w:pPr>
        <w:pStyle w:val="Compact"/>
        <w:numPr>
          <w:ilvl w:val="0"/>
          <w:numId w:val="1010"/>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w:t>
      </w:r>
      <w:r>
        <w:t xml:space="preserve"> </w:t>
      </w:r>
      <w:hyperlink r:id="rId46">
        <w:r>
          <w:rPr>
            <w:rStyle w:val="Hyperlink"/>
          </w:rPr>
          <w:t xml:space="preserve">https://eosc.eu/building-the-eosc-federation/</w:t>
        </w:r>
      </w:hyperlink>
    </w:p>
    <w:p>
      <w:pPr>
        <w:pStyle w:val="Compact"/>
        <w:numPr>
          <w:ilvl w:val="0"/>
          <w:numId w:val="1010"/>
        </w:numPr>
      </w:pPr>
      <w:r>
        <w:t xml:space="preserve">Repository:</w:t>
      </w:r>
      <w:r>
        <w:t xml:space="preserve"> </w:t>
      </w:r>
      <w:hyperlink r:id="rId47">
        <w:r>
          <w:rPr>
            <w:rStyle w:val="Hyperlink"/>
          </w:rPr>
          <w:t xml:space="preserve">https://github.com/marioreale/eosc-basic-compliance</w:t>
        </w:r>
      </w:hyperlink>
    </w:p>
    <w:p>
      <w:pPr>
        <w:pStyle w:val="Compact"/>
        <w:numPr>
          <w:ilvl w:val="0"/>
          <w:numId w:val="1010"/>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0"/>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0"/>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0"/>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0cc33c2</w:t>
      </w:r>
      <w:r>
        <w:t xml:space="preserve">), not carried over from the previous edition</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https://eosc.eu/building-the-eosc-federation/" TargetMode="External" /><Relationship Type="http://schemas.openxmlformats.org/officeDocument/2006/relationships/hyperlink" Id="rId47"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6" Target="https://eosc.eu/building-the-eosc-federation/" TargetMode="External" /><Relationship Type="http://schemas.openxmlformats.org/officeDocument/2006/relationships/hyperlink" Id="rId47"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0cc33c2, 333 test cases</dc:creator>
  <dc:language>en-GB</dc:language>
  <cp:keywords/>
  <dcterms:created xsi:type="dcterms:W3CDTF">2026-09-26T01:38:16Z</dcterms:created>
  <dcterms:modified xsi:type="dcterms:W3CDTF">2026-09-26T01:38:16Z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