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Repository: github.com/marioreale/eosc-basic-compliance</w:t>
      </w:r>
    </w:p>
    <w:p>
      <w:pPr>
        <w:pStyle w:val="Date"/>
      </w:pPr>
      <w:r>
        <w:t xml:space="preserve">29 September 2026 (checklist v3.2) — built from the Markdown guides in the same commit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v3.2</w:t>
      </w:r>
      <w:r>
        <w:t xml:space="preserve"> </w:t>
      </w:r>
      <w:r>
        <w:t xml:space="preserve">(28 September 2026).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2026, and again on 29 September 2026 for checklist v3.2, when</w:t>
      </w:r>
      <w:r>
        <w:t xml:space="preserve"> </w:t>
      </w:r>
      <w:r>
        <w:t xml:space="preserve">section 5 gained the item 5 rule of v3.2 and the line numbers of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 </w:t>
      </w:r>
      <w:r>
        <w:t xml:space="preserve">were re-measured: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checklist-v3.2.html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772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5c, with the</w:t>
            </w:r>
            <w:r>
              <w:t xml:space="preserve"> </w:t>
            </w:r>
            <w:r>
              <w:rPr>
                <w:rStyle w:val="VerbatimChar"/>
              </w:rPr>
              <w:t xml:space="preserve">on_nlp</w:t>
            </w:r>
            <w:r>
              <w:t xml:space="preserve"> </w:t>
            </w:r>
            <w:r>
              <w:t xml:space="preserve">switch for the item 5 rule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which-item-5-rule-applies"/>
    <w:p>
      <w:pPr>
        <w:pStyle w:val="Heading3"/>
      </w:pPr>
      <w:r>
        <w:t xml:space="preserve">Which item 5 rule applies</w:t>
      </w:r>
    </w:p>
    <w:p>
      <w:pPr>
        <w:pStyle w:val="FirstParagraph"/>
      </w:pPr>
      <w:r>
        <w:t xml:space="preserve">Item 5 changed in checklist v3.2 (28 September 2026). Under v3.0 and v3.1 the</w:t>
      </w:r>
      <w:r>
        <w:t xml:space="preserve"> </w:t>
      </w:r>
      <w:r>
        <w:t xml:space="preserve">purpose description, the AUP and the UAP had to be accessible in English</w:t>
      </w:r>
      <w:r>
        <w:t xml:space="preserve"> </w:t>
      </w:r>
      <w:r>
        <w:t xml:space="preserve">"either directly or via the link to the resource's entry in the EOSC</w:t>
      </w:r>
      <w:r>
        <w:t xml:space="preserve"> </w:t>
      </w:r>
      <w:r>
        <w:t xml:space="preserve">Catalogue". Under v3.2 they must be accessible "both directly on the NLP</w:t>
      </w:r>
      <w:r>
        <w:t xml:space="preserve"> </w:t>
      </w:r>
      <w:r>
        <w:t xml:space="preserve">presenting the resource to the users and via the link to the resource's entry</w:t>
      </w:r>
      <w:r>
        <w:t xml:space="preserve"> </w:t>
      </w:r>
      <w:r>
        <w:t xml:space="preserve">in the EOSC Catalogue", which the document spells out as: present "for each</w:t>
      </w:r>
      <w:r>
        <w:t xml:space="preserve"> </w:t>
      </w:r>
      <w:r>
        <w:t xml:space="preserve">resource in the EOSC Exchange, both on the NLP itself and in the Metadata about</w:t>
      </w:r>
      <w:r>
        <w:t xml:space="preserve"> </w:t>
      </w:r>
      <w:r>
        <w:t xml:space="preserve">the Resource in the Node Catalogue".</w:t>
      </w:r>
    </w:p>
    <w:p>
      <w:pPr>
        <w:pStyle w:val="BodyText"/>
      </w:pPr>
      <w:r>
        <w:rPr>
          <w:rStyle w:val="VerbatimChar"/>
        </w:rPr>
        <w:t xml:space="preserve">check_5a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take a switch,</w:t>
      </w:r>
      <w:r>
        <w:t xml:space="preserve"> </w:t>
      </w:r>
      <w:r>
        <w:rPr>
          <w:rStyle w:val="VerbatimChar"/>
        </w:rPr>
        <w:t xml:space="preserve">on_nlp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passes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item5_on_nlp</w:t>
      </w:r>
      <w:r>
        <w:t xml:space="preserve">, and the CLI reads it from the checklist file: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do not declare it, which the CLI reads as false. So rebuilding a run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 </w:t>
      </w:r>
      <w:r>
        <w:t xml:space="preserve">applies the v3.1 rule, and reproduces that run</w:t>
      </w:r>
      <w:r>
        <w:t xml:space="preserve"> </w:t>
      </w:r>
      <w:r>
        <w:t xml:space="preserve">exactly. The functions default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the rule of the default checklist.</w:t>
      </w:r>
    </w:p>
    <w:p>
      <w:pPr>
        <w:pStyle w:val="BodyText"/>
      </w:pPr>
      <w:r>
        <w:t xml:space="preserve">The tool reads the landing page and, one level down, the pages it links to. It</w:t>
      </w:r>
      <w:r>
        <w:t xml:space="preserve"> </w:t>
      </w:r>
      <w:r>
        <w:t xml:space="preserve">never reads the EOSC Catalogue. Under v3.2 that means it can check only the NLP</w:t>
      </w:r>
      <w:r>
        <w:t xml:space="preserve"> </w:t>
      </w:r>
      <w:r>
        <w:t xml:space="preserve">half of item 5, and every 5a–5c result says so.</w:t>
      </w:r>
    </w:p>
    <w:bookmarkEnd w:id="27"/>
    <w:bookmarkStart w:id="28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), under</w:t>
      </w:r>
      <w:r>
        <w:t xml:space="preserve"> </w:t>
      </w:r>
      <w:r>
        <w:t xml:space="preserve">either rule.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</w:t>
      </w:r>
      <w:r>
        <w:t xml:space="preserve"> </w:t>
      </w:r>
      <w:r>
        <w:t xml:space="preserve">judging whether a description states a purpose is reading. Under v3.1 the</w:t>
      </w:r>
      <w:r>
        <w:t xml:space="preserve"> </w:t>
      </w:r>
      <w:r>
        <w:t xml:space="preserve">message adds that the description may live in the Catalogue entry instead;</w:t>
      </w:r>
      <w:r>
        <w:t xml:space="preserve"> </w:t>
      </w:r>
      <w:r>
        <w:t xml:space="preserve">under v3.2 it says the description must be both on the NLP and in the</w:t>
      </w:r>
      <w:r>
        <w:t xml:space="preserve"> </w:t>
      </w:r>
      <w:r>
        <w:t xml:space="preserve">Catalogue metadata, and the reviewer action asks for both. There is no branch on</w:t>
      </w:r>
      <w:r>
        <w:t xml:space="preserve"> </w:t>
      </w:r>
      <w:r>
        <w:t xml:space="preserve">which the tool could honestly resolve it, so it does not pretend to.</w:t>
      </w:r>
    </w:p>
    <w:p>
      <w:r>
        <w:pict>
          <v:rect style="width:0;height:1.5pt" o:hralign="center" o:hrstd="t" o:hr="t"/>
        </w:pict>
      </w:r>
    </w:p>
    <w:bookmarkEnd w:id="28"/>
    <w:bookmarkStart w:id="29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 Each also receives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point's vocabulary, which the v3.2 rule uses: 5b looks for a UAP</w:t>
      </w:r>
      <w:r>
        <w:t xml:space="preserve"> </w:t>
      </w:r>
      <w:r>
        <w:t xml:space="preserve">link, and 5c for an AUP link, when its own is missing.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p>
      <w:pPr>
        <w:pStyle w:val="FirstParagraph"/>
      </w:pPr>
      <w:r>
        <w:t xml:space="preserve">Branches 1–5 are the same under both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</w:tbl>
    <w:p>
      <w:pPr>
        <w:pStyle w:val="BodyText"/>
      </w:pPr>
      <w:r>
        <w:t xml:space="preserve">Under v3.2, the reviewer action of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(branches 1 and 5) adds that the</w:t>
      </w:r>
      <w:r>
        <w:t xml:space="preserve"> </w:t>
      </w:r>
      <w:r>
        <w:t xml:space="preserve">policy must also be in each resource's Catalogue metadata, which the tool does</w:t>
      </w:r>
      <w:r>
        <w:t xml:space="preserve"> </w:t>
      </w:r>
      <w:r>
        <w:t xml:space="preserve">not read: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settles the NLP half only.</w:t>
      </w:r>
    </w:p>
    <w:p>
      <w:pPr>
        <w:pStyle w:val="BodyText"/>
      </w:pPr>
      <w:r>
        <w:t xml:space="preserve">When no link to the point's own policy was found, the rules differ.</w:t>
      </w:r>
    </w:p>
    <w:p>
      <w:pPr>
        <w:pStyle w:val="BodyText"/>
      </w:pPr>
      <w:r>
        <w:rPr>
          <w:b/>
          <w:bCs/>
        </w:rPr>
        <w:t xml:space="preserve">Checklist v3.0 and v3.1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false):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: the policy could be in the Catalogue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Checklist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true), in this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page links to the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policy (a UAP for 5b, an AUP for 5c)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 and UAP can be provided through the same, single document"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page links to a</w:t>
            </w:r>
            <w:r>
              <w:t xml:space="preserve"> </w:t>
            </w:r>
            <w:r>
              <w:rPr>
                <w:b/>
                <w:bCs/>
              </w:rPr>
              <w:t xml:space="preserve">licence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LICENCE_PATTERNS</w:t>
            </w:r>
            <w:r>
              <w:t xml:space="preserve">: licence/license, licensing, Creative Commons, CC BY)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"AUP/UAP can be provided via specific product licenses in the case of datasets, archives, software"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fires: no links, fewer than 10 DOM elements, or under 500 characters of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DOM did not arrive, so absence is not concluded (the same gate as point 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 </w:t>
            </w:r>
            <w:r>
              <w:t xml:space="preserve">— no pointer to the policy on the NLP. If the page names the policy in its text without a link, the message says so and the mention is kept in the evidence, but it is still a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: naming a document does not make it accessible from the NLP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Under v3.1, branch 7 was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permitted the policy</w:t>
      </w:r>
      <w:r>
        <w:t xml:space="preserve"> </w:t>
      </w:r>
      <w:r>
        <w:t xml:space="preserve">to be reached via each resource's entry in the EOSC Catalogue alone. v3.2</w:t>
      </w:r>
      <w:r>
        <w:t xml:space="preserve"> </w:t>
      </w:r>
      <w:r>
        <w:t xml:space="preserve">removed that alternative, so the same absence is now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(v3.2 branch 9).</w:t>
      </w:r>
      <w:r>
        <w:t xml:space="preserve"> </w:t>
      </w:r>
      <w:r>
        <w:t xml:space="preserve">The exceptions in v3.2 branches 6 and 7 come from the checklist's own notes; they</w:t>
      </w:r>
      <w:r>
        <w:t xml:space="preserve"> </w:t>
      </w:r>
      <w:r>
        <w:t xml:space="preserve">lead to review, never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because a UAP is not proof of an AUP and a</w:t>
      </w:r>
      <w:r>
        <w:t xml:space="preserve"> </w:t>
      </w:r>
      <w:r>
        <w:t xml:space="preserve">licence is not proof of either. "AUP and UAP do not necessarily need to be</w:t>
      </w:r>
      <w:r>
        <w:t xml:space="preserve"> </w:t>
      </w:r>
      <w:r>
        <w:t xml:space="preserve">unique per service" is why a single policy linked from the NLP satisfies the NLP</w:t>
      </w:r>
      <w:r>
        <w:t xml:space="preserve"> </w:t>
      </w:r>
      <w:r>
        <w:t xml:space="preserve">half for every resource: the tool does not ask for one link per resource.</w:t>
      </w:r>
    </w:p>
    <w:p>
      <w:pPr>
        <w:pStyle w:val="BodyText"/>
      </w:pPr>
      <w:r>
        <w:t xml:space="preserve">What the stricter rule changed on the published evidence (run</w:t>
      </w:r>
      <w:r>
        <w:t xml:space="preserve"> </w:t>
      </w:r>
      <w:r>
        <w:rPr>
          <w:rStyle w:val="VerbatimChar"/>
        </w:rPr>
        <w:t xml:space="preserve">web-11</w:t>
      </w:r>
      <w:r>
        <w:t xml:space="preserve">, re-scored</w:t>
      </w:r>
      <w:r>
        <w:t xml:space="preserve"> </w:t>
      </w:r>
      <w:r>
        <w:t xml:space="preserve">without contacting any node): 5b and 5c moved from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for</w:t>
      </w:r>
      <w:r>
        <w:t xml:space="preserve"> </w:t>
      </w:r>
      <w:r>
        <w:t xml:space="preserve">CERN, Data Terra and PaNOSC, whose landing pages link to neither policy nor to a</w:t>
      </w:r>
      <w:r>
        <w:t xml:space="preserve"> </w:t>
      </w:r>
      <w:r>
        <w:t xml:space="preserve">licence. Every other cell is unchanged: eight nodes link one of the two policies</w:t>
      </w:r>
      <w:r>
        <w:t xml:space="preserve"> </w:t>
      </w:r>
      <w:r>
        <w:t xml:space="preserve">and get review on the other (v3.2 branch 6), Slovakia links one document labelled</w:t>
      </w:r>
      <w:r>
        <w:t xml:space="preserve"> </w:t>
      </w:r>
      <w:r>
        <w:t xml:space="preserve">as both, and GÉANT's page was not served (branch 8). Run</w:t>
      </w:r>
      <w:r>
        <w:t xml:space="preserve"> </w:t>
      </w:r>
      <w:r>
        <w:rPr>
          <w:rStyle w:val="VerbatimChar"/>
        </w:rPr>
        <w:t xml:space="preserve">web-12</w:t>
      </w:r>
      <w:r>
        <w:t xml:space="preserve">, the first</w:t>
      </w:r>
      <w:r>
        <w:t xml:space="preserve"> </w:t>
      </w:r>
      <w:r>
        <w:t xml:space="preserve">collected under v3.2, gave the same verdicts in all 130 cells, and so did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2</w:t>
      </w:r>
      <w:r>
        <w:t xml:space="preserve">, at both depths.</w:t>
      </w:r>
    </w:p>
    <w:p>
      <w:r>
        <w:pict>
          <v:rect style="width:0;height:1.5pt" o:hralign="center" o:hrstd="t" o:hr="t"/>
        </w:pict>
      </w:r>
    </w:p>
    <w:bookmarkEnd w:id="29"/>
    <w:bookmarkStart w:id="30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(on the page of a node that was listed by mistake and was replaced by EOSC Node Poland on 28 September 2026)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30"/>
    <w:bookmarkStart w:id="31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runs of 26 and 28 September give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both days),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3"/>
    <w:bookmarkStart w:id="34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checklist-v3.3.html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 (and, since v3.2, 5b and 5c also fail when</w:t>
      </w:r>
      <w:r>
        <w:t xml:space="preserve"> </w:t>
      </w:r>
      <w:r>
        <w:t xml:space="preserve">the landing page links to no policy at all),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4"/>
    <w:bookmarkStart w:id="41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7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6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49 PASS · 14 FAIL · 67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7"/>
    <w:bookmarkStart w:id="38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8"/>
    <w:bookmarkStart w:id="40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"v3.2.yaml"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v3.3 dated 15 October 2026. Use the real version, date</w:t>
      </w:r>
      <w:r>
        <w:t xml:space="preserve"> </w:t>
      </w:r>
      <w:r>
        <w:t xml:space="preserve">and filenames. This procedure was last applied on 29 September 2026, to move</w:t>
      </w:r>
      <w:r>
        <w:t xml:space="preserve"> </w:t>
      </w:r>
      <w:r>
        <w:t xml:space="preserve">from v3.1 to v3.2 (and before that on 26 September, from v3.0 to v3.1);</w:t>
      </w:r>
      <w:r>
        <w:t xml:space="preserve"> </w:t>
      </w:r>
      <w:r>
        <w:t xml:space="preserve">the header of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~/Downloads/20261015_Node_Landing_Page_Verification_Checklist_v3.3.pdf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checklist/20261015_Node_Landing_Page_Verification_Checklist_v3.3.pdf</w:t>
      </w:r>
      <w:r>
        <w:br/>
      </w:r>
      <w:r>
        <w:rPr>
          <w:rStyle w:val="CommentTok"/>
        </w:rPr>
        <w:t xml:space="preserve"># on macOS: shasum -a 256 checklist/20261015_Node_Landing_Page_Verification_Checklist_v3.3.pdf</w:t>
      </w:r>
    </w:p>
    <w:p>
      <w:pPr>
        <w:pStyle w:val="FirstParagraph"/>
      </w:pPr>
      <w:r>
        <w:t xml:space="preserve">The committed v3.2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checklist/v3.2.yaml checklist/v3.3.yaml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"3.3"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v3.3.yaml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"3.3"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v3.3.yaml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Compact"/>
        <w:numPr>
          <w:ilvl w:val="0"/>
          <w:numId w:val="1017"/>
        </w:numPr>
      </w:pPr>
      <w:r>
        <w:t xml:space="preserve">If a rule became</w:t>
      </w:r>
      <w:r>
        <w:t xml:space="preserve"> </w:t>
      </w:r>
      <w:r>
        <w:rPr>
          <w:b/>
          <w:bCs/>
        </w:rPr>
        <w:t xml:space="preserve">stricter or looser</w:t>
      </w:r>
      <w:r>
        <w:t xml:space="preserve">, older runs must keep the rule they</w:t>
      </w:r>
      <w:r>
        <w:t xml:space="preserve"> </w:t>
      </w:r>
      <w:r>
        <w:t xml:space="preserve">were made under. Do not simply change the function: give it a switch, pass</w:t>
      </w:r>
      <w:r>
        <w:t xml:space="preserve"> </w:t>
      </w:r>
      <w:r>
        <w:t xml:space="preserve">the switch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, and declare it in the new YAML only, so the older</w:t>
      </w:r>
      <w:r>
        <w:t xml:space="preserve"> </w:t>
      </w:r>
      <w:r>
        <w:t xml:space="preserve">files select the old rule by its absence. v3.2 did this for item 5: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_item5_on_nlp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</w:t>
      </w:r>
      <w:r>
        <w:t xml:space="preserve"> </w:t>
      </w:r>
      <w:r>
        <w:t xml:space="preserve">selects the rule that the AUP and UAP must be linked from the NLP, and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/</w:t>
      </w:r>
      <w:r>
        <w:rPr>
          <w:rStyle w:val="VerbatimChar"/>
        </w:rPr>
        <w:t xml:space="preserve">v3.1.yaml</w:t>
      </w:r>
      <w:r>
        <w:t xml:space="preserve">, which lack the key, keep "on the NLP or in the</w:t>
      </w:r>
      <w:r>
        <w:t xml:space="preserve"> </w:t>
      </w:r>
      <w:r>
        <w:t xml:space="preserve">Catalogue". Add tests for both rules, and rebuild the published run with the</w:t>
      </w:r>
      <w:r>
        <w:t xml:space="preserve"> </w:t>
      </w:r>
      <w:r>
        <w:t xml:space="preserve">old file to prove it is unchanged.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/tmp/v33/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/tmp/v33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trial-v3.3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/tmp/v33/results.md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"v3.3.yaml"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v3.3"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checklist/v3.2.yaml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v3.3,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</w:p>
    <w:p>
      <w:pPr>
        <w:pStyle w:val="FirstParagraph"/>
      </w:pPr>
      <w:r>
        <w:t xml:space="preserve">Alternatively, re-score the published evidence against v3.3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v3.3,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results/checklist-v3.3.html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v3.2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results/checklist-v3.2.html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"v3\.2"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results/checklist-v3.2.html#p…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v3.2, 28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checklist/v3.2.yaml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9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40"/>
    <w:bookmarkEnd w:id="41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Repository: github.com/marioreale/eosc-basic-compliance</dc:creator>
  <dc:language>en-GB</dc:language>
  <cp:keywords/>
  <dcterms:created xsi:type="dcterms:W3CDTF">2026-09-28T23:00:57Z</dcterms:created>
  <dcterms:modified xsi:type="dcterms:W3CDTF">2026-09-28T23:00:57Z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 (checklist v3.2) — built from the Markdown guides in the same commit</vt:lpwstr>
  </property>
  <property fmtid="{D5CDD505-2E9C-101B-9397-08002B2CF9AE}" pid="3" name="subtitle">
    <vt:lpwstr>What the test suite does, step by step, for every checklist requirement</vt:lpwstr>
  </property>
</Properties>
</file>