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(438),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and it became stricter: the purpose description, the Acceptable Use Policy and</w:t>
      </w:r>
      <w:r>
        <w:t xml:space="preserve"> </w:t>
      </w:r>
      <w:r>
        <w:t xml:space="preserve">the User Access Policy of every Node Exchange resource must now be available</w:t>
      </w:r>
      <w:r>
        <w:t xml:space="preserve"> </w:t>
      </w:r>
      <w:r>
        <w:rPr>
          <w:b/>
          <w:bCs/>
        </w:rPr>
        <w:t xml:space="preserve">both</w:t>
      </w:r>
      <w:r>
        <w:t xml:space="preserve"> </w:t>
      </w:r>
      <w:r>
        <w:t xml:space="preserve">directly on the NLP</w:t>
      </w:r>
      <w:r>
        <w:t xml:space="preserve"> </w:t>
      </w:r>
      <w:r>
        <w:rPr>
          <w:b/>
          <w:bCs/>
        </w:rPr>
        <w:t xml:space="preserve">and</w:t>
      </w:r>
      <w:r>
        <w:t xml:space="preserve"> </w:t>
      </w:r>
      <w:r>
        <w:t xml:space="preserve">in the resource's EOSC Catalogue metadata,</w:t>
      </w:r>
      <w:r>
        <w:t xml:space="preserve"> </w:t>
      </w:r>
      <w:r>
        <w:t xml:space="preserve">where v3.1 asked for either. So a landing page that links to no AUP or UAP now</w:t>
      </w:r>
      <w:r>
        <w:t xml:space="preserve"> </w:t>
      </w:r>
      <w:r>
        <w:rPr>
          <w:b/>
          <w:bCs/>
        </w:rPr>
        <w:t xml:space="preserve">fails</w:t>
      </w:r>
      <w:r>
        <w:t xml:space="preserve"> </w:t>
      </w:r>
      <w:r>
        <w:t xml:space="preserve">5b or 5c instead of going to review. Two notes in the new item 5</w:t>
      </w:r>
      <w:r>
        <w:t xml:space="preserve"> </w:t>
      </w:r>
      <w:r>
        <w:t xml:space="preserve">keep review rather than FAIL where they apply: one document may serve as both</w:t>
      </w:r>
      <w:r>
        <w:t xml:space="preserve"> </w:t>
      </w:r>
      <w:r>
        <w:t xml:space="preserve">AUP and UAP, and datasets, archives and software may provide them through a</w:t>
      </w:r>
      <w:r>
        <w:t xml:space="preserve"> </w:t>
      </w:r>
      <w:r>
        <w:t xml:space="preserve">product licence. The rule is selected by the checklist file (</w:t>
      </w:r>
      <w:r>
        <w:rPr>
          <w:rStyle w:val="VerbatimChar"/>
        </w:rPr>
        <w:t xml:space="preserve">item5_on_nlp</w:t>
      </w:r>
      <w:r>
        <w:t xml:space="preserve">),</w:t>
      </w:r>
      <w:r>
        <w:t xml:space="preserve"> </w:t>
      </w:r>
      <w:r>
        <w:t xml:space="preserve">so runs made under v3.0 and v3.1 still 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 differences point by point, and section 5 of</w:t>
      </w:r>
      <w:r>
        <w:t xml:space="preserve"> </w:t>
      </w:r>
      <w:r>
        <w:t xml:space="preserve">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on 29 September 2026.</w:t>
      </w:r>
      <w:r>
        <w:t xml:space="preserve"> </w:t>
      </w:r>
      <w:r>
        <w:rPr>
          <w:rStyle w:val="VerbatimChar"/>
        </w:rPr>
        <w:t xml:space="preserve">results/</w:t>
      </w:r>
      <w:r>
        <w:t xml:space="preserve"> </w:t>
      </w:r>
      <w:r>
        <w:t xml:space="preserve">now holds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0">
        <w:r>
          <w:rPr>
            <w:rStyle w:val="Hyperlink"/>
          </w:rPr>
          <w:t xml:space="preserve">run 36494907672</w:t>
        </w:r>
      </w:hyperlink>
      <w:r>
        <w:t xml:space="preserve">), under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1">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2">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4"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3">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4"/>
    <w:bookmarkStart w:id="17"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5"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438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5"/>
    <w:bookmarkStart w:id="16"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438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6"/>
    <w:bookmarkEnd w:id="17"/>
    <w:bookmarkStart w:id="31"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9"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8">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web-13</w:t>
      </w:r>
      <w:r>
        <w:t xml:space="preserve"> </w:t>
      </w:r>
      <w:r>
        <w:t xml:space="preserve">(the published run).</w:t>
      </w:r>
    </w:p>
    <w:bookmarkEnd w:id="19"/>
    <w:bookmarkStart w:id="20"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web-13</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49 PASS, 14 FAIL and 67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0"/>
    <w:bookmarkStart w:id="21"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stricter item 5 rule</w:t>
      </w:r>
      <w:r>
        <w:t xml:space="preserve"> </w:t>
      </w:r>
      <w:r>
        <w:t xml:space="preserve">(policies linked from the NLP,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1"/>
    <w:bookmarkStart w:id="28"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2"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2"/>
    <w:bookmarkStart w:id="23"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3"/>
    <w:bookmarkStart w:id="24"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4"/>
    <w:bookmarkStart w:id="25"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5"/>
    <w:bookmarkStart w:id="26"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6"/>
    <w:bookmarkStart w:id="27"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7"/>
    <w:bookmarkEnd w:id="28"/>
    <w:bookmarkStart w:id="29"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8">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9"/>
    <w:bookmarkStart w:id="30"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0"/>
    <w:bookmarkEnd w:id="31"/>
    <w:bookmarkStart w:id="40"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2"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2"/>
    <w:bookmarkStart w:id="33"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3"/>
    <w:bookmarkStart w:id="34"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4"/>
    <w:bookmarkStart w:id="35"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5"/>
    <w:bookmarkStart w:id="36"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6"/>
    <w:bookmarkStart w:id="37"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7"/>
    <w:bookmarkStart w:id="38"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8"/>
    <w:bookmarkStart w:id="39"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9"/>
    <w:bookmarkEnd w:id="40"/>
    <w:bookmarkStart w:id="42"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1"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1"/>
    <w:bookmarkEnd w:id="42"/>
    <w:bookmarkStart w:id="46"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3"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3"/>
    <w:bookmarkStart w:id="44"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4"/>
    <w:bookmarkStart w:id="45"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web-13</w:t>
      </w:r>
      <w:r>
        <w:t xml:space="preserve"> </w:t>
      </w:r>
      <w:r>
        <w:t xml:space="preserve">(28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 A deeper run reads more pages, and so needs this check more.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5"/>
    <w:bookmarkEnd w:id="46"/>
    <w:bookmarkStart w:id="49"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7">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8"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8"/>
    <w:bookmarkEnd w:id="49"/>
    <w:bookmarkStart w:id="50"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0"/>
    <w:bookmarkStart w:id="51"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1"/>
    <w:bookmarkStart w:id="52"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2"/>
    <w:bookmarkStart w:id="56"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3"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8">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3"/>
    <w:bookmarkStart w:id="54"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4"/>
    <w:bookmarkStart w:id="55"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5"/>
    <w:bookmarkEnd w:id="56"/>
    <w:bookmarkStart w:id="57"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7"/>
    <w:sectPr>
      <w:footerReference w:type="default" r:id="rId1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hyperlink" Target="https://docs.astral.sh/uv/" TargetMode="External"/><Relationship Id="rId18" Type="http://schemas.openxmlformats.org/officeDocument/2006/relationships/hyperlink" Target="https://eosc.eu/building-the-eosc-federation/" TargetMode="External"/><Relationship Id="rId12" Type="http://schemas.openxmlformats.org/officeDocument/2006/relationships/hyperlink" Target="https://github.com/marioreale/eosc-basic-compliance/actions/runs/36431202625" TargetMode="External"/><Relationship Id="rId11"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actions/runs/36494907672" TargetMode="External"/><Relationship Id="rId9" Type="http://schemas.openxmlformats.org/officeDocument/2006/relationships/hyperlink" Target="https://github.com/marioreale/eosc-basic-compliance/blob/main/docs/ANALYSIS-WORKFLOW.md" TargetMode="External"/><Relationship Id="rId47" Type="http://schemas.openxmlformats.org/officeDocument/2006/relationships/hyperlink" Target="https://github.com/marioreale/eosc-basic-compliance/blob/main/docs/TEST-SUITE.md" TargetMode="Externa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https://docs.astral.sh/uv/" TargetMode="External"/><Relationship Id="rId18" Type="http://schemas.openxmlformats.org/officeDocument/2006/relationships/hyperlink" Target="https://eosc.eu/building-the-eosc-federation/" TargetMode="External"/><Relationship Id="rId12" Type="http://schemas.openxmlformats.org/officeDocument/2006/relationships/hyperlink" Target="https://github.com/marioreale/eosc-basic-compliance/actions/runs/36431202625" TargetMode="External"/><Relationship Id="rId11" Type="http://schemas.openxmlformats.org/officeDocument/2006/relationships/hyperlink" Target="https://github.com/marioreale/eosc-basic-compliance/actions/runs/36493197701" TargetMode="External"/><Relationship Id="rId10" Type="http://schemas.openxmlformats.org/officeDocument/2006/relationships/hyperlink" Target="https://github.com/marioreale/eosc-basic-compliance/actions/runs/36494907672" TargetMode="External"/><Relationship Id="rId9" Type="http://schemas.openxmlformats.org/officeDocument/2006/relationships/hyperlink" Target="https://github.com/marioreale/eosc-basic-compliance/blob/main/docs/ANALYSIS-WORKFLOW.md" TargetMode="External"/><Relationship Id="rId47"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checklist v3.2</dc:creator>
  <dc:language>en-GB</dc:language>
  <cp:keywords/>
  <dcterms:created xsi:type="dcterms:W3CDTF">2026-09-28T23:00:52Z</dcterms:created>
  <dcterms:modified xsi:type="dcterms:W3CDTF">2026-09-28T23:00:52Z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