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1 October 2026 (checklist v3.2) — built from the Markdown guides in the same commit</w:t>
      </w:r>
    </w:p>
    <w:bookmarkStart w:id="9" w:name="contents"/>
    <w:p>
      <w:pPr>
        <w:pStyle w:val="Heading2"/>
      </w:pPr>
      <w:r>
        <w:t xml:space="preserve">Contents</w:t>
      </w:r>
    </w:p>
    <w:p>
      <w:pPr>
        <w:pStyle w:val="FirstParagraph"/>
      </w:pPr>
      <w:r>
        <w:t xml:space="preserve">1. The three stages</w:t>
      </w:r>
    </w:p>
    <w:p>
      <w:pPr>
        <w:pStyle w:val="BodyText"/>
      </w:pPr>
      <w:r>
        <w:t xml:space="preserve">2. Stage 1 — collection</w:t>
      </w:r>
    </w:p>
    <w:p>
      <w:pPr>
        <w:pStyle w:val="BodyText"/>
      </w:pPr>
      <w:r>
        <w:t xml:space="preserve">3. What the evidence contains — and what it does not</w:t>
      </w:r>
    </w:p>
    <w:p>
      <w:pPr>
        <w:pStyle w:val="BodyText"/>
      </w:pPr>
      <w:r>
        <w:t xml:space="preserve">4. Stage 2 — the assessment machinery</w:t>
      </w:r>
    </w:p>
    <w:p>
      <w:pPr>
        <w:pStyle w:val="BodyText"/>
      </w:pPr>
      <w:r>
        <w:t xml:space="preserve">5. Per-point decision procedures — points 1, 1R, 2, 3, 4, 5a, 5b, 5c, 6, 7</w:t>
      </w:r>
    </w:p>
    <w:p>
      <w:pPr>
        <w:pStyle w:val="BodyText"/>
      </w:pPr>
      <w:r>
        <w:t xml:space="preserve">6. Where this workflow is known to be wrong</w:t>
      </w:r>
    </w:p>
    <w:p>
      <w:pPr>
        <w:pStyle w:val="BodyText"/>
      </w:pPr>
      <w:r>
        <w:t xml:space="preserve">7. Reading the output</w:t>
      </w:r>
    </w:p>
    <w:p>
      <w:pPr>
        <w:pStyle w:val="BodyText"/>
      </w:pPr>
      <w:r>
        <w:t xml:space="preserve">8. Worked examples — adding a node, changing a URL, a new checklist revision</w:t>
      </w:r>
    </w:p>
    <w:p>
      <w:pPr>
        <w:pStyle w:val="BodyText"/>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End w:id="9"/>
    <w:bookmarkStart w:id="14"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rPr>
          <w:cantSplit/>
        </w:trP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rPr>
          <w:cantSplit/>
        </w:trP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rPr>
          <w:cantSplit/>
        </w:trP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3"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1" name="Picture"/>
            <a:graphic>
              <a:graphicData uri="http://schemas.openxmlformats.org/drawingml/2006/picture">
                <pic:pic>
                  <pic:nvPicPr>
                    <pic:cNvPr descr="/home/user/workspace/eosc-basic-compliance/docs/img/phases.png" id="12" name="Picture"/>
                    <pic:cNvPicPr>
                      <a:picLocks noChangeArrowheads="1" noChangeAspect="1"/>
                    </pic:cNvPicPr>
                  </pic:nvPicPr>
                  <pic:blipFill>
                    <a:blip r:embed="rId10"/>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3"/>
    <w:bookmarkEnd w:id="14"/>
    <w:bookmarkStart w:id="15"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 "nothing disallowed",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rPr>
          <w:cantSplit/>
        </w:trP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rPr>
          <w:cantSplit/>
        </w:trP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rPr>
          <w:cantSplit/>
        </w:trP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rPr>
          <w:cantSplit/>
        </w:trP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rPr>
          <w:cantSplit/>
        </w:trPr>
        <w:tc>
          <w:tcPr/>
          <w:p>
            <w:pPr>
              <w:pStyle w:val="Compact"/>
            </w:pPr>
            <w:r>
              <w:t xml:space="preserve">5</w:t>
            </w:r>
          </w:p>
        </w:tc>
        <w:tc>
          <w:tcPr/>
          <w:p>
            <w:pPr>
              <w:pStyle w:val="Compact"/>
            </w:pPr>
            <w:r>
              <w:t xml:space="preserve">5p</w:t>
            </w:r>
          </w:p>
        </w:tc>
        <w:tc>
          <w:tcPr/>
          <w:p>
            <w:pPr>
              <w:pStyle w:val="Compact"/>
            </w:pPr>
            <w:r>
              <w:t xml:space="preserve">policy/policies (not privacy, cookie or "policy makers"), legal, terms</w:t>
            </w:r>
          </w:p>
        </w:tc>
      </w:tr>
      <w:tr>
        <w:trPr>
          <w:cantSplit/>
        </w:trP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 "via intermediate web pages linked by the NLP":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 "checked and absent" and "never looked".</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5"/>
    <w:bookmarkStart w:id="16"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6"/>
    <w:bookmarkStart w:id="21"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7"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Meaning</w:t>
            </w:r>
          </w:p>
        </w:tc>
      </w:tr>
      <w:tr>
        <w:trPr>
          <w:cantSplit/>
        </w:trPr>
        <w:tc>
          <w:tcPr/>
          <w:p>
            <w:pPr>
              <w:pStyle w:val="Compact"/>
            </w:pPr>
            <w:r>
              <w:rPr>
                <w:rStyle w:val="VerbatimChar"/>
              </w:rPr>
              <w:t xml:space="preserve">PASS</w:t>
            </w:r>
          </w:p>
        </w:tc>
        <w:tc>
          <w:tcPr/>
          <w:p>
            <w:pPr>
              <w:pStyle w:val="Compact"/>
            </w:pPr>
            <w:r>
              <w:t xml:space="preserve">Satisfied, and the tool can show why</w:t>
            </w:r>
          </w:p>
        </w:tc>
      </w:tr>
      <w:tr>
        <w:trPr>
          <w:cantSplit/>
        </w:trPr>
        <w:tc>
          <w:tcPr/>
          <w:p>
            <w:pPr>
              <w:pStyle w:val="Compact"/>
            </w:pPr>
            <w:r>
              <w:rPr>
                <w:rStyle w:val="VerbatimChar"/>
              </w:rPr>
              <w:t xml:space="preserve">FAIL</w:t>
            </w:r>
          </w:p>
        </w:tc>
        <w:tc>
          <w:tcPr/>
          <w:p>
            <w:pPr>
              <w:pStyle w:val="Compact"/>
            </w:pPr>
            <w:r>
              <w:t xml:space="preserve">Violated, and the tool can show why</w:t>
            </w:r>
          </w:p>
        </w:tc>
      </w:tr>
      <w:tr>
        <w:trPr>
          <w:cantSplit/>
        </w:trPr>
        <w:tc>
          <w:tcPr/>
          <w:p>
            <w:pPr>
              <w:pStyle w:val="Compact"/>
            </w:pPr>
            <w:r>
              <w:rPr>
                <w:rStyle w:val="VerbatimChar"/>
              </w:rPr>
              <w:t xml:space="preserve">MANUAL_REVIEW</w:t>
            </w:r>
          </w:p>
        </w:tc>
        <w:tc>
          <w:tcPr/>
          <w:p>
            <w:pPr>
              <w:pStyle w:val="Compact"/>
            </w:pPr>
            <w:r>
              <w:t xml:space="preserve">A human must decide; evidence is attached to make that fast</w:t>
            </w:r>
          </w:p>
        </w:tc>
      </w:tr>
      <w:tr>
        <w:trPr>
          <w:cantSplit/>
        </w:trP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 "clearly state", or quantify over "all Node Exchange research resources</w:t>
      </w:r>
      <w:r>
        <w:t xml:space="preserve"> </w:t>
      </w:r>
      <w:r>
        <w:t xml:space="preserve">offered by the Node".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7"/>
    <w:bookmarkStart w:id="18"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8"/>
    <w:bookmarkStart w:id="19"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rPr>
          <w:cantSplit/>
        </w:trP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rPr>
          <w:cantSplit/>
        </w:trP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rPr>
          <w:cantSplit/>
        </w:trP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rPr>
          <w:cantSplit/>
        </w:trP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rPr>
          <w:cantSplit/>
        </w:trP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rPr>
          <w:cantSplit/>
        </w:trP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rPr>
          <w:cantSplit/>
        </w:trP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rPr>
          <w:cantSplit/>
        </w:trP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9"/>
    <w:bookmarkStart w:id="20" w:name="Xb01f761edf526ca820d10c97270181bdb8dc3d6"/>
    <w:p>
      <w:pPr>
        <w:pStyle w:val="Heading3"/>
      </w:pPr>
      <w:r>
        <w:t xml:space="preserve">The two absence gates — and why there are two</w:t>
      </w:r>
    </w:p>
    <w:p>
      <w:pPr>
        <w:pStyle w:val="FirstParagraph"/>
      </w:pPr>
      <w:r>
        <w:t xml:space="preserve">Concluding "absent" 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 "cannot conclude".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20"/>
    <w:bookmarkEnd w:id="21"/>
    <w:bookmarkStart w:id="32"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2"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rPr>
          <w:cantSplit/>
        </w:trP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rPr>
          <w:cantSplit/>
        </w:trP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rPr>
          <w:cantSplit/>
        </w:trP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rPr>
          <w:cantSplit/>
        </w:trP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rPr>
          <w:cantSplit/>
        </w:trP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rPr>
          <w:cantSplit/>
        </w:trP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rPr>
          <w:cantSplit/>
        </w:trP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 "not</w:t>
      </w:r>
      <w:r>
        <w:t xml:space="preserve"> </w:t>
      </w:r>
      <w:r>
        <w:t xml:space="preserve">publicly accessible" 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2"/>
    <w:bookmarkStart w:id="23"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3"/>
    <w:bookmarkStart w:id="24"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4"/>
    <w:bookmarkStart w:id="25"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 "eosc" 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 "eosc" 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rPr>
          <w:cantSplit/>
        </w:trP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 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5"/>
    <w:bookmarkStart w:id="26"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rPr>
          <w:cantSplit/>
        </w:trP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rPr>
          <w:cantSplit/>
        </w:trP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rPr>
          <w:cantSplit/>
        </w:trP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rPr>
          <w:cantSplit/>
        </w:trP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 Naming the</w:t>
      </w:r>
      <w:r>
        <w:t xml:space="preserve"> </w:t>
      </w:r>
      <w:r>
        <w:t xml:space="preserve">exact page turns "something is absent" 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 "Navigation &amp; Legal" 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6"/>
    <w:bookmarkStart w:id="27"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 Under v3.2 they must be accessible "both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 which the document spells out as: present "for each resource in the</w:t>
      </w:r>
      <w:r>
        <w:t xml:space="preserve"> </w:t>
      </w:r>
      <w:r>
        <w:t xml:space="preserve">EOSC Exchange, both on the NLP itself (or on pages linked by the NLP web page)</w:t>
      </w:r>
      <w:r>
        <w:t xml:space="preserve"> </w:t>
      </w:r>
      <w:r>
        <w:t xml:space="preserve">and in the Metadata about the Resource in the Node Catalogue". This is the</w:t>
      </w:r>
      <w:r>
        <w:t xml:space="preserve"> </w:t>
      </w:r>
      <w:r>
        <w:t xml:space="preserve">wording of v3.2 as re-issued on 29 September 2026; the first copy said</w:t>
      </w:r>
      <w:r>
        <w:t xml:space="preserve"> </w:t>
      </w:r>
      <w:r>
        <w:t xml:space="preserve">"directly on the NLP" 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7"/>
    <w:bookmarkStart w:id="28"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 "all Node Exchange research resources</w:t>
      </w:r>
      <w:r>
        <w:t xml:space="preserve"> </w:t>
      </w:r>
      <w:r>
        <w:t xml:space="preserve">offered by the Node",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8"/>
    <w:bookmarkStart w:id="29"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 "a pointer, not a verified document", with the reason: depth 0, a PDF or other document, a cap reached, another site, or not selected at collection</w:t>
            </w:r>
          </w:p>
        </w:tc>
      </w:tr>
      <w:tr>
        <w:trPr>
          <w:cantSplit/>
        </w:trP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rPr>
          <w:cantSplit/>
        </w:trP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rPr>
          <w:cantSplit/>
        </w:trP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rPr>
          <w:cantSplit/>
        </w:trP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rPr>
          <w:cantSplit/>
        </w:trP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 "Linked pages read" 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rPr>
          <w:cantSplit/>
        </w:trP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 "via intermediate web pages linked by the NLP"; the evidence names the intermediate page, and the message says whether the policy page itself was fetched</w:t>
            </w:r>
          </w:p>
        </w:tc>
      </w:tr>
      <w:tr>
        <w:trPr>
          <w:cantSplit/>
        </w:trP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 "AUP and UAP can be provided through the same, single document"</w:t>
            </w:r>
          </w:p>
        </w:tc>
      </w:tr>
      <w:tr>
        <w:trPr>
          <w:cantSplit/>
        </w:trP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 "AUP/UAP can be provided via specific product licenses in the case of datasets, archives, software"</w:t>
            </w:r>
          </w:p>
        </w:tc>
      </w:tr>
      <w:tr>
        <w:trPr>
          <w:cantSplit/>
        </w:trP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rPr>
          <w:cantSplit/>
        </w:trP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 "not read"</w:t>
            </w:r>
          </w:p>
        </w:tc>
      </w:tr>
      <w:tr>
        <w:trPr>
          <w:cantSplit/>
        </w:trP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 pointing at a 404 satisfies "there is a link" 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 "Infrastructure</w:t>
      </w:r>
      <w:r>
        <w:t xml:space="preserve"> </w:t>
      </w:r>
      <w:r>
        <w:t xml:space="preserve">AUP/UAP" to a working policy page and "Review resource access conditions" 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 "policy wording" 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 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 "AUP and UAP do not necessarily need to be</w:t>
      </w:r>
      <w:r>
        <w:t xml:space="preserve"> </w:t>
      </w:r>
      <w:r>
        <w:t xml:space="preserve">unique per service" 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("directly on the NLP"),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 "Services" and</w:t>
      </w:r>
      <w:r>
        <w:t xml:space="preserve"> </w:t>
      </w:r>
      <w:r>
        <w:t xml:space="preserve">"Policies",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 "Acceptable Use Policy of BBMRI-ERIC</w:t>
      </w:r>
      <w:r>
        <w:t xml:space="preserve"> </w:t>
      </w:r>
      <w:r>
        <w:t xml:space="preserve">Services".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 "Policies" 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w:t>
      </w:r>
    </w:p>
    <w:p>
      <w:r>
        <w:pict>
          <v:rect style="width:0;height:1.5pt" o:hralign="center" o:hrstd="t" o:hr="t"/>
        </w:pict>
      </w:r>
    </w:p>
    <w:bookmarkEnd w:id="29"/>
    <w:bookmarkStart w:id="30"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 "support" 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 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Contact or bare "support" 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rPr>
          <w:cantSplit/>
        </w:trPr>
        <w:tc>
          <w:tcPr/>
          <w:p>
            <w:pPr>
              <w:pStyle w:val="Compact"/>
            </w:pPr>
            <w:r>
              <w:t xml:space="preserve">3</w:t>
            </w:r>
          </w:p>
        </w:tc>
        <w:tc>
          <w:tcPr/>
          <w:p>
            <w:pPr>
              <w:pStyle w:val="Compact"/>
            </w:pPr>
            <w:r>
              <w:t xml:space="preserve">Contact or bare "support" 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 "support" label was the only lead, and lists addresses and links not followed</w:t>
            </w:r>
          </w:p>
        </w:tc>
      </w:tr>
      <w:tr>
        <w:trPr>
          <w:cantSplit/>
        </w:trP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rPr>
          <w:cantSplit/>
        </w:trP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rPr>
          <w:cantSplit/>
        </w:trP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rPr>
          <w:cantSplit/>
        </w:trP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 "Contact" 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30"/>
    <w:bookmarkStart w:id="31"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rPr>
          <w:cantSplit/>
        </w:trP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rPr>
          <w:cantSplit/>
        </w:trP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rPr>
          <w:cantSplit/>
        </w:trP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1"/>
    <w:bookmarkEnd w:id="32"/>
    <w:bookmarkStart w:id="33"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 "eosc" 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 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 "eosc" 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 to "none found".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 "strat</w:t>
      </w:r>
      <w:r>
        <w:rPr>
          <w:b/>
          <w:bCs/>
        </w:rPr>
        <w:t xml:space="preserve">egi</w:t>
      </w:r>
      <w:r>
        <w:t xml:space="preserve">c") and on Data</w:t>
      </w:r>
      <w:r>
        <w:t xml:space="preserve"> </w:t>
      </w:r>
      <w:r>
        <w:t xml:space="preserve">Terra (inside "Norw</w:t>
      </w:r>
      <w:r>
        <w:rPr>
          <w:b/>
          <w:bCs/>
        </w:rPr>
        <w:t xml:space="preserve">egi</w:t>
      </w:r>
      <w:r>
        <w:t xml:space="preserve">an"),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3"/>
    <w:bookmarkStart w:id="34"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 "Evidence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4"/>
    <w:bookmarkStart w:id="41"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35">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"Checking a page not in</w:t>
      </w:r>
      <w:r>
        <w:t xml:space="preserve"> </w:t>
      </w:r>
      <w:r>
        <w:rPr>
          <w:rStyle w:val="VerbatimChar"/>
        </w:rPr>
        <w:t xml:space="preserve">nodes.yaml</w:t>
      </w:r>
      <w:r>
        <w:t xml:space="preserve">" in the</w:t>
      </w:r>
      <w:r>
        <w:t xml:space="preserve"> </w:t>
      </w:r>
      <w:hyperlink r:id="rId35">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("130 cells: 63 PASS · 3 FAIL · 64 review");</w:t>
      </w:r>
    </w:p>
    <w:p>
      <w:pPr>
        <w:pStyle w:val="Compact"/>
        <w:numPr>
          <w:ilvl w:val="0"/>
          <w:numId w:val="1016"/>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7"/>
    <w:bookmarkStart w:id="3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8"/>
    <w:bookmarkStart w:id="4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9">
        <w:r>
          <w:rPr>
            <w:rStyle w:val="Hyperlink"/>
            <w:i/>
            <w:iCs/>
          </w:rPr>
          <w:t xml:space="preserve">https://github.com/marioreale/eosc-basic-compliance</w:t>
        </w:r>
      </w:hyperlink>
      <w:r>
        <w:rPr>
          <w:i/>
          <w:iCs/>
        </w:rPr>
        <w:t xml:space="preserve">.</w:t>
      </w:r>
    </w:p>
    <w:bookmarkEnd w:id="40"/>
    <w:bookmarkEnd w:id="41"/>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2026-10-01T20:27:37Z</dcterms:created>
  <dcterms:modified xsi:type="dcterms:W3CDTF">2026-10-01T20:27:37Z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October 2026 (checklist v3.2) — built from the Markdown guides in the same commit</vt:lpwstr>
  </property>
  <property fmtid="{D5CDD505-2E9C-101B-9397-08002B2CF9AE}" pid="3" name="subtitle">
    <vt:lpwstr>What the test suite does, step by step, for every checklist requirement</vt:lpwstr>
  </property>
</Properties>
</file>