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5 October 2026 for the re-issued checklist v3.2, 453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w:t>
      </w:r>
      <w:r>
        <w:rPr>
          <w:b/>
          <w:bCs/>
        </w:rPr>
        <w:t xml:space="preserve"> </w:t>
      </w:r>
      <w:r>
        <w:rPr>
          <w:b/>
          <w:bCs/>
        </w:rPr>
        <w:t xml:space="preserve">“the previous edition”</w:t>
      </w:r>
      <w:r>
        <w:rPr>
          <w:b/>
          <w:bCs/>
        </w:rPr>
        <w:t xml:space="preserve">.</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w:t>
      </w:r>
      <w:r>
        <w:t xml:space="preserve"> </w:t>
      </w:r>
      <w:r>
        <w:t xml:space="preserve">“directly on the NLP itself or via intermediate web pages linked by the NLP”</w:t>
      </w:r>
      <w:r>
        <w:t xml:space="preserve">,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w:t>
      </w:r>
      <w:r>
        <w:t xml:space="preserve"> </w:t>
      </w:r>
      <w:r>
        <w:t xml:space="preserve">“Executable doesn’t exist”</w:t>
      </w:r>
      <w:r>
        <w:t xml:space="preserve"> </w:t>
      </w:r>
      <w:r>
        <w:t xml:space="preserve">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w:t>
            </w:r>
            <w:r>
              <w:t xml:space="preserve"> </w:t>
            </w:r>
            <w:r>
              <w:t xml:space="preserve">“clearly visible”</w:t>
            </w:r>
            <w:r>
              <w:t xml:space="preserve"> </w:t>
            </w:r>
            <w:r>
              <w:t xml:space="preserve">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w:t>
      </w:r>
      <w:r>
        <w:t xml:space="preserve"> </w:t>
      </w:r>
      <w:r>
        <w:t xml:space="preserve">“a human must look”</w:t>
      </w:r>
      <w:r>
        <w:t xml:space="preserve">.</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w:t>
      </w:r>
      <w:r>
        <w:t xml:space="preserve"> </w:t>
      </w:r>
      <w:r>
        <w:t xml:space="preserve">“intermediate web pages linked by the NLP”</w:t>
      </w:r>
      <w:r>
        <w:t xml:space="preserve">,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w:t>
      </w:r>
      <w:r>
        <w:t xml:space="preserve"> </w:t>
      </w:r>
      <w:r>
        <w:t xml:space="preserve">“not found”</w:t>
      </w:r>
      <w:r>
        <w:t xml:space="preserve"> </w:t>
      </w:r>
      <w:r>
        <w:t xml:space="preserve">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w:t>
      </w:r>
      <w:r>
        <w:t xml:space="preserve"> </w:t>
      </w:r>
      <w:r>
        <w:t xml:space="preserve">“Acceptable Use Policy”</w:t>
      </w:r>
      <w:r>
        <w:t xml:space="preserve"> </w:t>
      </w:r>
      <w:r>
        <w:t xml:space="preserve">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w:t>
      </w:r>
      <w:r>
        <w:t xml:space="preserve">“clearly state”</w:t>
      </w:r>
      <w:r>
        <w:t xml:space="preserve">) or quantify over things no crawl enumerates (</w:t>
      </w:r>
      <w:r>
        <w:t xml:space="preserve">“all research resources offered by the Node”</w:t>
      </w:r>
      <w:r>
        <w:t xml:space="preserv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w:t>
      </w:r>
      <w:r>
        <w:t xml:space="preserve"> </w:t>
      </w:r>
      <w:r>
        <w:t xml:space="preserve">“Website address”</w:t>
      </w:r>
      <w:r>
        <w:t xml:space="preserve">),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w:t>
      </w:r>
      <w:r>
        <w:t xml:space="preserve"> </w:t>
      </w:r>
      <w:r>
        <w:t xml:space="preserve">“Ad hoc page check (not a federation run)”</w:t>
      </w:r>
      <w:r>
        <w:t xml:space="preserve"> </w:t>
      </w:r>
      <w:r>
        <w:t xml:space="preserve">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w:t>
      </w:r>
      <w:r>
        <w:t xml:space="preserve"> </w:t>
      </w:r>
      <w:r>
        <w:t xml:space="preserve">“EOSC Node Italy”</w:t>
      </w:r>
      <w:r>
        <w:t xml:space="preserve">.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w:t>
      </w:r>
      <w:r>
        <w:t xml:space="preserve"> </w:t>
      </w:r>
      <w: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w:t>
      </w:r>
      <w:r>
        <w:t xml:space="preserve"> </w:t>
      </w:r>
      <w:r>
        <w:t xml:space="preserve">“Alternative URL check (not a federation run)”</w:t>
      </w:r>
      <w:r>
        <w:t xml:space="preserve"> </w:t>
      </w:r>
      <w:r>
        <w:t xml:space="preserve">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w:t>
      </w:r>
      <w:r>
        <w:t xml:space="preserve"> </w:t>
      </w:r>
      <w:r>
        <w:t xml:space="preserve">“a node is non-compliant”</w:t>
      </w:r>
      <w:r>
        <w:t xml:space="preserve">.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w:t>
      </w:r>
      <w:r>
        <w:t xml:space="preserve">“Personal data is masked”</w:t>
      </w:r>
      <w:r>
        <w:t xml:space="preserve">),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w:t>
      </w:r>
      <w:r>
        <w:t xml:space="preserve"> </w:t>
      </w:r>
      <w:r>
        <w:t xml:space="preserve">“nothing objected”</w:t>
      </w:r>
      <w:r>
        <w:t xml:space="preserve">, not</w:t>
      </w:r>
      <w:r>
        <w:t xml:space="preserve"> </w:t>
      </w:r>
      <w:r>
        <w:t xml:space="preserve">“everything was verified”</w:t>
      </w:r>
      <w:r>
        <w:t xml:space="preserve">. A suite that collects zero tests also passes. The test count in the CI log is the thing to read — it currently says</w:t>
      </w:r>
      <w:r>
        <w:t xml:space="preserve"> </w:t>
      </w:r>
      <w:r>
        <w:t xml:space="preserve">“339 passed”</w:t>
      </w:r>
      <w:r>
        <w:t xml:space="preserve">.</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w:t>
      </w:r>
      <w:r>
        <w:t xml:space="preserve"> </w:t>
      </w:r>
      <w:r>
        <w:t xml:space="preserve">“unreviewed automated output”</w:t>
      </w:r>
      <w:r>
        <w:t xml:space="preserve"> </w:t>
      </w:r>
      <w:r>
        <w:t xml:space="preserve">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w:t>
      </w:r>
      <w:r>
        <w:t xml:space="preserve"> </w:t>
      </w:r>
      <w:r>
        <w:t xml:space="preserve">“reproduced the local figures exactly, 29 PASS / 6 FAIL / 55 MANUAL_REVIEW”</w:t>
      </w:r>
      <w:r>
        <w:t xml:space="preserve">.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w:t>
      </w:r>
      <w:r>
        <w:t xml:space="preserve"> </w:t>
      </w:r>
      <w:r>
        <w:t xml:space="preserve">“no contact route of any kind was found”</w:t>
      </w:r>
      <w:r>
        <w:t xml:space="preserve"> </w:t>
      </w:r>
      <w:r>
        <w:t xml:space="preserve">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w:t>
      </w:r>
      <w:r>
        <w:t xml:space="preserve"> </w:t>
      </w:r>
      <w:r>
        <w:t xml:space="preserve">“not publicly accessible”</w:t>
      </w:r>
      <w:r>
        <w:t xml:space="preserve"> </w:t>
      </w:r>
      <w:r>
        <w:t xml:space="preserve">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w:t>
      </w:r>
      <w:r>
        <w:t xml:space="preserve"> </w:t>
      </w:r>
      <w:r>
        <w:t xml:space="preserve">“acceptable use”</w:t>
      </w:r>
      <w:r>
        <w:t xml:space="preserve"> </w:t>
      </w:r>
      <w:r>
        <w:t xml:space="preserve">while the check also accepted</w:t>
      </w:r>
      <w:r>
        <w:t xml:space="preserve"> </w:t>
      </w:r>
      <w:r>
        <w:t xml:space="preserve">“terms of use”</w:t>
      </w:r>
      <w:r>
        <w:t xml:space="preserv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w:t>
      </w:r>
      <w:r>
        <w:t xml:space="preserve"> </w:t>
      </w:r>
      <w:r>
        <w:t xml:space="preserve">“the tool has no authoritative list of approved names”</w:t>
      </w:r>
      <w:r>
        <w:t xml:space="preserve"> </w:t>
      </w:r>
      <w:r>
        <w:t xml:space="preserve">—</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w:t>
      </w:r>
      <w:r>
        <w:t xml:space="preserve"> </w:t>
      </w:r>
      <w:r>
        <w:t xml:space="preserve">“an approved name was found in the page body, but the list supplied is unscoped, so it does not say which node the name belongs to”</w:t>
      </w:r>
      <w:r>
        <w:t xml:space="preserve"> </w:t>
      </w:r>
      <w:r>
        <w:t xml:space="preserve">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74" w:name="the-published-figures"/>
    <w:p>
      <w:pPr>
        <w:pStyle w:val="Heading2"/>
      </w:pPr>
      <w:r>
        <w:t xml:space="preserve">10. The published figures</w:t>
      </w:r>
    </w:p>
    <w:bookmarkStart w:id="46" w:name="Xe18fb72a69f126db3b2357f567c65497333e8c1"/>
    <w:p>
      <w:pPr>
        <w:pStyle w:val="Heading3"/>
      </w:pPr>
      <w:r>
        <w:t xml:space="preserve">Current run: web-24 at depth 2, 5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web-24</w:t>
      </w:r>
      <w:r>
        <w:t xml:space="preserve">, collected on 5 October 2026 between 21:17 and 21:23 UTC by the GitHub workflow (</w:t>
      </w:r>
      <w:hyperlink r:id="rId45">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w:t>
            </w:r>
            <w:r>
              <w:t xml:space="preserve">“AP/AUP EOSC Node Czechia”</w:t>
            </w:r>
            <w:r>
              <w:t xml:space="preserve">,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“User Access Policy”</w:t>
            </w:r>
            <w:r>
              <w:t xml:space="preserve"> </w:t>
            </w:r>
            <w:r>
              <w:t xml:space="preserve">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46"/>
    <w:bookmarkStart w:id="48"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47">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“PaNOSC Node”</w:t>
            </w:r>
            <w:r>
              <w:t xml:space="preserve"> </w:t>
            </w:r>
            <w:r>
              <w:t xml:space="preserve">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Poland”</w:t>
            </w:r>
            <w:r>
              <w:t xml:space="preserve"> </w:t>
            </w:r>
            <w:r>
              <w:t xml:space="preserve">to</w:t>
            </w:r>
            <w:r>
              <w:t xml:space="preserve"> </w:t>
            </w:r>
            <w:r>
              <w:rPr>
                <w:rStyle w:val="VerbatimChar"/>
              </w:rPr>
              <w:t xml:space="preserve">https://eosc.eu/building-the-eosc-federation/eosc-node-poland/</w:t>
            </w:r>
            <w:r>
              <w:t xml:space="preserve">; its text now also writes</w:t>
            </w:r>
            <w:r>
              <w:t xml:space="preserve"> </w:t>
            </w:r>
            <w:r>
              <w:t xml:space="preserve">“EOSC Node Poland”</w:t>
            </w:r>
            <w:r>
              <w:t xml:space="preserve">,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48"/>
    <w:bookmarkStart w:id="50"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49">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w:t>
            </w:r>
            <w:r>
              <w:t xml:space="preserve"> </w:t>
            </w:r>
            <w:r>
              <w:t xml:space="preserve">“GÉANT Node Acceptable Use Policy”</w:t>
            </w:r>
            <w:r>
              <w:t xml:space="preserve"> </w:t>
            </w:r>
            <w:r>
              <w:t xml:space="preserve">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“Acceptable User Policy and User Access Policy”</w:t>
            </w:r>
            <w:r>
              <w:t xml:space="preserve"> </w:t>
            </w:r>
            <w:r>
              <w:t xml:space="preserve">to a PaNOSC Node User Policies page, fetched and reading like a policy; 5b stays review because</w:t>
            </w:r>
            <w:r>
              <w:t xml:space="preserve"> </w:t>
            </w:r>
            <w:r>
              <w:t xml:space="preserve">“Acceptable User Policy”</w:t>
            </w:r>
            <w:r>
              <w:t xml:space="preserve"> </w:t>
            </w:r>
            <w:r>
              <w:t xml:space="preserve">is not the vocabulary’s</w:t>
            </w:r>
            <w:r>
              <w:t xml:space="preserve"> </w:t>
            </w:r>
            <w:r>
              <w:t xml:space="preserve">“Acceptable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t xml:space="preserve">“PaNOSC Helpdesk”</w:t>
            </w:r>
            <w:r>
              <w:t xml:space="preserve">,</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w:t>
            </w:r>
            <w:r>
              <w:t xml:space="preserve"> </w:t>
            </w:r>
            <w:r>
              <w:t xml:space="preserve">“Helpdesk”</w:t>
            </w:r>
            <w:r>
              <w:t xml:space="preserve">; it links</w:t>
            </w:r>
            <w:r>
              <w:t xml:space="preserve"> </w:t>
            </w:r>
            <w:r>
              <w:rPr>
                <w:rStyle w:val="VerbatimChar"/>
              </w:rPr>
              <w:t xml:space="preserve">info@eudat.eu</w:t>
            </w:r>
            <w:r>
              <w:t xml:space="preserve">, and a</w:t>
            </w:r>
            <w:r>
              <w:t xml:space="preserve"> </w:t>
            </w:r>
            <w:r>
              <w:t xml:space="preserve">“Help Desk”</w:t>
            </w:r>
            <w:r>
              <w:t xml:space="preserve"> </w:t>
            </w:r>
            <w:r>
              <w:t xml:space="preserve">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50"/>
    <w:bookmarkStart w:id="52"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51">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Data Terra Acceptable Use Policy”</w:t>
            </w:r>
            <w:r>
              <w:t xml:space="preserve"> </w:t>
            </w:r>
            <w:r>
              <w:t xml:space="preserve">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w:t>
      </w:r>
      <w:r>
        <w:t xml:space="preserve"> </w:t>
      </w:r>
      <w:r>
        <w:t xml:space="preserve">“Français”</w:t>
      </w:r>
      <w:r>
        <w:t xml:space="preserve"> </w:t>
      </w:r>
      <w:r>
        <w:t xml:space="preserve">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52"/>
    <w:bookmarkStart w:id="55"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53">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54">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w:t>
      </w:r>
      <w:r>
        <w:t xml:space="preserve"> </w:t>
      </w:r>
      <w:r>
        <w:t xml:space="preserve">“Infrastructure AUP/UAP”</w:t>
      </w:r>
      <w:r>
        <w:t xml:space="preserve"> </w:t>
      </w:r>
      <w:r>
        <w:t xml:space="preserve">to D4Science’s policy page, and</w:t>
      </w:r>
      <w:r>
        <w:t xml:space="preserve"> </w:t>
      </w:r>
      <w:r>
        <w:t xml:space="preserve">“Review resource access conditions”</w:t>
      </w:r>
      <w:r>
        <w:t xml:space="preserve"> </w:t>
      </w:r>
      <w:r>
        <w:t xml:space="preserve">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w:t>
            </w:r>
            <w:r>
              <w:t xml:space="preserve"> </w:t>
            </w:r>
            <w:r>
              <w:t xml:space="preserve">“Infrastructure AUP/UAP”</w:t>
            </w:r>
            <w:r>
              <w:t xml:space="preserve">,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w:t>
            </w:r>
            <w:r>
              <w:t xml:space="preserve"> </w:t>
            </w:r>
            <w:r>
              <w:t xml:space="preserve">“AUP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55"/>
    <w:bookmarkStart w:id="58"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56">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w:t>
            </w:r>
            <w:r>
              <w:t xml:space="preserve"> </w:t>
            </w:r>
            <w:r>
              <w:t xml:space="preserve">“GÉANT Node Acceptable Use Policy”</w:t>
            </w:r>
            <w:r>
              <w:t xml:space="preserve"> </w:t>
            </w:r>
            <w:r>
              <w:t xml:space="preserve">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w:t>
            </w:r>
            <w:r>
              <w:t xml:space="preserve"> </w:t>
            </w:r>
            <w:r>
              <w:t xml:space="preserve">“DETAILED DESCRIPTION OF EOSC NODE CZECHIA”</w:t>
            </w:r>
            <w:r>
              <w:t xml:space="preserve"> </w:t>
            </w:r>
            <w:r>
              <w:t xml:space="preserve">to its own entry, and a</w:t>
            </w:r>
            <w:r>
              <w:t xml:space="preserve"> </w:t>
            </w:r>
            <w:r>
              <w:t xml:space="preserve">“User Access Policy”</w:t>
            </w:r>
            <w:r>
              <w:t xml:space="preserve"> </w:t>
            </w:r>
            <w:r>
              <w:t xml:space="preserve">(a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“EGI User Access Policy (UAP)”</w:t>
            </w:r>
            <w:r>
              <w:t xml:space="preserve">,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w:t>
            </w:r>
            <w:r>
              <w:t xml:space="preserve"> </w:t>
            </w:r>
            <w:r>
              <w:t xml:space="preserve">“No server is available”</w:t>
            </w:r>
            <w:r>
              <w:t xml:space="preserve">, again when Italy alone was re-collected at 15:05:54 UTC (</w:t>
            </w:r>
            <w:hyperlink r:id="rId57">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w:t>
      </w:r>
      <w:r>
        <w:t xml:space="preserve"> </w:t>
      </w:r>
      <w:r>
        <w:t xml:space="preserve">“Manage services”</w:t>
      </w:r>
      <w:r>
        <w:t xml:space="preserve"> </w:t>
      </w:r>
      <w:r>
        <w:t xml:space="preserve">button as a services page (5s), and at the second hop a</w:t>
      </w:r>
      <w:r>
        <w:t xml:space="preserve"> </w:t>
      </w:r>
      <w:r>
        <w:t xml:space="preserve">“Security contact for this AUP”</w:t>
      </w:r>
      <w:r>
        <w:t xml:space="preserve"> </w:t>
      </w:r>
      <w:r>
        <w:t xml:space="preserve">link as an AUP (5b). Neither changed a verdict; the AUP verdict rests on the policy page itself.</w:t>
      </w:r>
    </w:p>
    <w:bookmarkEnd w:id="58"/>
    <w:bookmarkStart w:id="60"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59">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w:t>
      </w:r>
      <w:r>
        <w:t xml:space="preserve"> </w:t>
      </w:r>
      <w:r>
        <w:t xml:space="preserve">“EGI EOSC Node on EOSC Association’s website”</w:t>
      </w:r>
      <w:r>
        <w:t xml:space="preserv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60"/>
    <w:bookmarkStart w:id="62"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61">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w:t>
            </w:r>
            <w:r>
              <w:t xml:space="preserve"> </w:t>
            </w:r>
            <w:r>
              <w:t xml:space="preserve">“Policies”</w:t>
            </w:r>
            <w:r>
              <w:t xml:space="preserve"> </w:t>
            </w:r>
            <w:r>
              <w:t xml:space="preserve">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w:t>
            </w:r>
            <w:r>
              <w:t xml:space="preserve"> </w:t>
            </w:r>
            <w:r>
              <w:t xml:space="preserve">“Services”</w:t>
            </w:r>
            <w:r>
              <w:t xml:space="preserve"> </w:t>
            </w:r>
            <w:r>
              <w:t xml:space="preserve">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w:t>
            </w:r>
            <w:r>
              <w:t xml:space="preserve"> </w:t>
            </w:r>
            <w:r>
              <w:t xml:space="preserve">“Acceptable Use Policy of BBMRI-ERIC Services”</w:t>
            </w:r>
            <w:r>
              <w:t xml:space="preserve"> </w:t>
            </w:r>
            <w:r>
              <w:t xml:space="preserve">(a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62"/>
    <w:bookmarkStart w:id="63"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63"/>
    <w:bookmarkStart w:id="68"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64">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65">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66">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67">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w:t>
      </w:r>
      <w:r>
        <w:t xml:space="preserve">“EOSC Node | Poland”</w:t>
      </w:r>
      <w:r>
        <w:t xml:space="preserve"> </w:t>
      </w:r>
      <w:r>
        <w:t xml:space="preserve">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w:t>
      </w:r>
      <w:r>
        <w:t xml:space="preserve"> </w:t>
      </w:r>
      <w:r>
        <w:t xml:space="preserve">“EOSC Node | CERN”</w:t>
      </w:r>
      <w:r>
        <w:t xml:space="preserve">,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w:t>
      </w:r>
      <w:r>
        <w:t xml:space="preserve"> </w:t>
      </w:r>
      <w:r>
        <w:t xml:space="preserve">“EOSC Node | Poland”</w:t>
      </w:r>
      <w:r>
        <w:t xml:space="preserve">,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68"/>
    <w:bookmarkStart w:id="69"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w:t>
      </w:r>
      <w:r>
        <w:t xml:space="preserve"> </w:t>
      </w:r>
      <w:r>
        <w:t xml:space="preserve">“National Support”</w:t>
      </w:r>
      <w:r>
        <w:t xml:space="preserve"> </w:t>
      </w:r>
      <w:r>
        <w:t xml:space="preserve">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w:t>
      </w:r>
      <w:r>
        <w:t xml:space="preserve"> </w:t>
      </w:r>
      <w:r>
        <w:t xml:space="preserve">“Point 6 and 5b/5c after the review”</w:t>
      </w:r>
      <w:r>
        <w:t xml:space="preserve"> </w:t>
      </w:r>
      <w:r>
        <w:t xml:space="preserve">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69"/>
    <w:bookmarkStart w:id="70"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70"/>
    <w:bookmarkStart w:id="71"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w:t>
      </w:r>
      <w:r>
        <w:t xml:space="preserve"> </w:t>
      </w:r>
      <w:r>
        <w:t xml:space="preserve">“support”</w:t>
      </w:r>
      <w:r>
        <w:t xml:space="preserve"> </w:t>
      </w:r>
      <w:r>
        <w:t xml:space="preserve">was a PASS. Now a bare</w:t>
      </w:r>
      <w:r>
        <w:t xml:space="preserve"> </w:t>
      </w:r>
      <w:r>
        <w:t xml:space="preserve">“support”</w:t>
      </w:r>
      <w:r>
        <w:t xml:space="preserve"> </w:t>
      </w:r>
      <w:r>
        <w:t xml:space="preserve">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w:t>
      </w:r>
      <w:r>
        <w:t xml:space="preserve"> </w:t>
      </w:r>
      <w:r>
        <w:t xml:space="preserve">“support”</w:t>
      </w:r>
      <w:r>
        <w:t xml:space="preserve"> </w:t>
      </w:r>
      <w:r>
        <w:t xml:space="preserve">no longer counts, because the EuroHPC proposal page of the node listed by mistake says</w:t>
      </w:r>
      <w:r>
        <w:t xml:space="preserve"> </w:t>
      </w:r>
      <w:r>
        <w:t xml:space="preserve">“Technical Support”</w:t>
      </w:r>
      <w:r>
        <w:t xml:space="preserve"> </w:t>
      </w:r>
      <w:r>
        <w:t xml:space="preserve">and</w:t>
      </w:r>
      <w:r>
        <w:t xml:space="preserve"> </w:t>
      </w:r>
      <w:r>
        <w:t xml:space="preserve">“Application Support team”</w:t>
      </w:r>
      <w:r>
        <w:t xml:space="preserve">.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w:t>
      </w:r>
      <w:r>
        <w:rPr>
          <w:b/>
          <w:bCs/>
        </w:rPr>
        <w:t xml:space="preserve"> </w:t>
      </w:r>
      <w:r>
        <w:rPr>
          <w:b/>
          <w:bCs/>
        </w:rPr>
        <w:t xml:space="preserve">“re-run with –depth 1”</w:t>
      </w:r>
      <w:r>
        <w:rPr>
          <w:b/>
          <w:bCs/>
        </w:rPr>
        <w:t xml:space="preserve"> </w:t>
      </w:r>
      <w:r>
        <w:rPr>
          <w:b/>
          <w:bCs/>
        </w:rPr>
        <w:t xml:space="preserve">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w:t>
      </w:r>
      <w:r>
        <w:t xml:space="preserve"> </w:t>
      </w:r>
      <w:r>
        <w:t xml:space="preserve">“Services &amp; Support”</w:t>
      </w:r>
      <w:r>
        <w:t xml:space="preserve"> </w:t>
      </w:r>
      <w:r>
        <w:t xml:space="preserve">label. The review first proposed</w:t>
      </w:r>
      <w:r>
        <w:t xml:space="preserve"> </w:t>
      </w:r>
      <w:r>
        <w:t xml:space="preserve">“review”</w:t>
      </w:r>
      <w:r>
        <w:t xml:space="preserve">, considering only</w:t>
      </w:r>
      <w:r>
        <w:t xml:space="preserve"> </w:t>
      </w:r>
      <w:r>
        <w:rPr>
          <w:rStyle w:val="VerbatimChar"/>
        </w:rPr>
        <w:t xml:space="preserve">contact@bbmri-eric.eu</w:t>
      </w:r>
      <w:r>
        <w:t xml:space="preserve">. It was revised to</w:t>
      </w:r>
      <w:r>
        <w:t xml:space="preserve"> </w:t>
      </w:r>
      <w:r>
        <w:t xml:space="preserve">“met”</w:t>
      </w:r>
      <w:r>
        <w:t xml:space="preserve"> </w:t>
      </w:r>
      <w:r>
        <w:t xml:space="preserve">on this evidence.</w:t>
      </w:r>
    </w:p>
    <w:bookmarkEnd w:id="71"/>
    <w:bookmarkStart w:id="72"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72"/>
    <w:bookmarkStart w:id="73"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w:t>
      </w:r>
      <w:r>
        <w:t xml:space="preserve"> </w:t>
      </w:r>
      <w:r>
        <w:t xml:space="preserve">“because</w:t>
      </w:r>
      <w:r>
        <w:t xml:space="preserve"> </w:t>
      </w:r>
      <w:r>
        <w:rPr>
          <w:rStyle w:val="VerbatimChar"/>
        </w:rPr>
        <w:t xml:space="preserve">--approved-names</w:t>
      </w:r>
      <w:r>
        <w:t xml:space="preserve"> </w:t>
      </w:r>
      <w:r>
        <w:t xml:space="preserve">was not supplied”</w:t>
      </w:r>
      <w:r>
        <w:t xml:space="preserve">.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w:t>
      </w:r>
      <w:r>
        <w:t xml:space="preserve"> </w:t>
      </w:r>
      <w:r>
        <w:t xml:space="preserve">“clearly and visibly”</w:t>
      </w:r>
      <w:r>
        <w:t xml:space="preserve"> </w:t>
      </w:r>
      <w:r>
        <w:t xml:space="preserve">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w:t>
      </w:r>
      <w:r>
        <w:t xml:space="preserve"> </w:t>
      </w:r>
      <w:r>
        <w:t xml:space="preserve">“not found”</w:t>
      </w:r>
      <w:r>
        <w:t xml:space="preserve"> </w:t>
      </w:r>
      <w:r>
        <w:t xml:space="preserve">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w:t>
      </w:r>
      <w:r>
        <w:t xml:space="preserve"> </w:t>
      </w:r>
      <w:r>
        <w:t xml:space="preserve">“EOSC Node”</w:t>
      </w:r>
      <w:r>
        <w:t xml:space="preserv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73"/>
    <w:bookmarkEnd w:id="74"/>
    <w:bookmarkStart w:id="79"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76"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7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“Ad hoc URLs”</w:t>
      </w:r>
      <w:r>
        <w:t xml:space="preserve"> </w:t>
      </w:r>
      <w:r>
        <w:t xml:space="preserve">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w:t>
      </w:r>
      <w:r>
        <w:t xml:space="preserve">“130 cells: 60 PASS · 1 FAIL · 59 review · 10 ERROR”</w:t>
      </w:r>
      <w:r>
        <w:t xml:space="preserve">);</w:t>
      </w:r>
    </w:p>
    <w:p>
      <w:pPr>
        <w:pStyle w:val="Compact"/>
        <w:numPr>
          <w:ilvl w:val="0"/>
          <w:numId w:val="1014"/>
        </w:numPr>
      </w:pPr>
      <w:r>
        <w:t xml:space="preserve">section 10 of this document (</w:t>
      </w:r>
      <w:r>
        <w:t xml:space="preserve">“The published figures”</w:t>
      </w:r>
      <w:r>
        <w:t xml:space="preserve">), and the node list</w:t>
      </w:r>
      <w:r>
        <w:t xml:space="preserve"> </w:t>
      </w:r>
      <w:r>
        <w:t xml:space="preserve">in section 5 (</w:t>
      </w:r>
      <w:r>
        <w:t xml:space="preserve">“The node list — a YAML file”</w:t>
      </w:r>
      <w:r>
        <w:t xml:space="preserv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76"/>
    <w:bookmarkStart w:id="77"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77"/>
    <w:bookmarkStart w:id="78"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78"/>
    <w:bookmarkEnd w:id="79"/>
    <w:bookmarkStart w:id="81"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75">
        <w:r>
          <w:rPr>
            <w:rStyle w:val="Hyperlink"/>
          </w:rPr>
          <w:t xml:space="preserve">https://eosc.eu/building-the-eosc-federation/</w:t>
        </w:r>
      </w:hyperlink>
    </w:p>
    <w:p>
      <w:pPr>
        <w:pStyle w:val="Compact"/>
        <w:numPr>
          <w:ilvl w:val="0"/>
          <w:numId w:val="1016"/>
        </w:numPr>
      </w:pPr>
      <w:r>
        <w:t xml:space="preserve">Repository:</w:t>
      </w:r>
      <w:r>
        <w:t xml:space="preserve"> </w:t>
      </w:r>
      <w:hyperlink r:id="rId80">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64">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65">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66">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81"/>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75" Type="http://schemas.openxmlformats.org/officeDocument/2006/relationships/hyperlink" Target="https://eosc.eu/building-the-eosc-federation/" TargetMode="External"/><Relationship Id="rId80" Type="http://schemas.openxmlformats.org/officeDocument/2006/relationships/hyperlink" Target="https://github.com/marioreale/eosc-basic-compliance" TargetMode="External"/><Relationship Id="rId67" Type="http://schemas.openxmlformats.org/officeDocument/2006/relationships/hyperlink" Target="https://github.com/marioreale/eosc-basic-compliance/actions/runs/36429362417" TargetMode="External"/><Relationship Id="rId66" Type="http://schemas.openxmlformats.org/officeDocument/2006/relationships/hyperlink" Target="https://github.com/marioreale/eosc-basic-compliance/actions/runs/36431202625" TargetMode="External"/><Relationship Id="rId65" Type="http://schemas.openxmlformats.org/officeDocument/2006/relationships/hyperlink" Target="https://github.com/marioreale/eosc-basic-compliance/actions/runs/36493197701" TargetMode="External"/><Relationship Id="rId64" Type="http://schemas.openxmlformats.org/officeDocument/2006/relationships/hyperlink" Target="https://github.com/marioreale/eosc-basic-compliance/actions/runs/36494907672" TargetMode="External"/><Relationship Id="rId61" Type="http://schemas.openxmlformats.org/officeDocument/2006/relationships/hyperlink" Target="https://github.com/marioreale/eosc-basic-compliance/actions/runs/36499442323" TargetMode="External"/><Relationship Id="rId59" Type="http://schemas.openxmlformats.org/officeDocument/2006/relationships/hyperlink" Target="https://github.com/marioreale/eosc-basic-compliance/actions/runs/36599759210" TargetMode="External"/><Relationship Id="rId56" Type="http://schemas.openxmlformats.org/officeDocument/2006/relationships/hyperlink" Target="https://github.com/marioreale/eosc-basic-compliance/actions/runs/36732900487" TargetMode="External"/><Relationship Id="rId57" Type="http://schemas.openxmlformats.org/officeDocument/2006/relationships/hyperlink" Target="https://github.com/marioreale/eosc-basic-compliance/actions/runs/36733978874" TargetMode="External"/><Relationship Id="rId53" Type="http://schemas.openxmlformats.org/officeDocument/2006/relationships/hyperlink" Target="https://github.com/marioreale/eosc-basic-compliance/actions/runs/36888865559" TargetMode="External"/><Relationship Id="rId54" Type="http://schemas.openxmlformats.org/officeDocument/2006/relationships/hyperlink" Target="https://github.com/marioreale/eosc-basic-compliance/actions/runs/36899901060" TargetMode="External"/><Relationship Id="rId51" Type="http://schemas.openxmlformats.org/officeDocument/2006/relationships/hyperlink" Target="https://github.com/marioreale/eosc-basic-compliance/actions/runs/36920498532" TargetMode="External"/><Relationship Id="rId49" Type="http://schemas.openxmlformats.org/officeDocument/2006/relationships/hyperlink" Target="https://github.com/marioreale/eosc-basic-compliance/actions/runs/37028804263" TargetMode="External"/><Relationship Id="rId47" Type="http://schemas.openxmlformats.org/officeDocument/2006/relationships/hyperlink" Target="https://github.com/marioreale/eosc-basic-compliance/actions/runs/37033017657" TargetMode="External"/><Relationship Id="rId45" Type="http://schemas.openxmlformats.org/officeDocument/2006/relationships/hyperlink" Target="https://github.com/marioreale/eosc-basic-compliance/actions/runs/3737484965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eosc.eu/building-the-eosc-federation/" TargetMode="External"/><Relationship Id="rId80" Type="http://schemas.openxmlformats.org/officeDocument/2006/relationships/hyperlink" Target="https://github.com/marioreale/eosc-basic-compliance" TargetMode="External"/><Relationship Id="rId67" Type="http://schemas.openxmlformats.org/officeDocument/2006/relationships/hyperlink" Target="https://github.com/marioreale/eosc-basic-compliance/actions/runs/36429362417" TargetMode="External"/><Relationship Id="rId66" Type="http://schemas.openxmlformats.org/officeDocument/2006/relationships/hyperlink" Target="https://github.com/marioreale/eosc-basic-compliance/actions/runs/36431202625" TargetMode="External"/><Relationship Id="rId65" Type="http://schemas.openxmlformats.org/officeDocument/2006/relationships/hyperlink" Target="https://github.com/marioreale/eosc-basic-compliance/actions/runs/36493197701" TargetMode="External"/><Relationship Id="rId64" Type="http://schemas.openxmlformats.org/officeDocument/2006/relationships/hyperlink" Target="https://github.com/marioreale/eosc-basic-compliance/actions/runs/36494907672" TargetMode="External"/><Relationship Id="rId61" Type="http://schemas.openxmlformats.org/officeDocument/2006/relationships/hyperlink" Target="https://github.com/marioreale/eosc-basic-compliance/actions/runs/36499442323" TargetMode="External"/><Relationship Id="rId59" Type="http://schemas.openxmlformats.org/officeDocument/2006/relationships/hyperlink" Target="https://github.com/marioreale/eosc-basic-compliance/actions/runs/36599759210" TargetMode="External"/><Relationship Id="rId56" Type="http://schemas.openxmlformats.org/officeDocument/2006/relationships/hyperlink" Target="https://github.com/marioreale/eosc-basic-compliance/actions/runs/36732900487" TargetMode="External"/><Relationship Id="rId57" Type="http://schemas.openxmlformats.org/officeDocument/2006/relationships/hyperlink" Target="https://github.com/marioreale/eosc-basic-compliance/actions/runs/36733978874" TargetMode="External"/><Relationship Id="rId53" Type="http://schemas.openxmlformats.org/officeDocument/2006/relationships/hyperlink" Target="https://github.com/marioreale/eosc-basic-compliance/actions/runs/36888865559" TargetMode="External"/><Relationship Id="rId54" Type="http://schemas.openxmlformats.org/officeDocument/2006/relationships/hyperlink" Target="https://github.com/marioreale/eosc-basic-compliance/actions/runs/36899901060" TargetMode="External"/><Relationship Id="rId51" Type="http://schemas.openxmlformats.org/officeDocument/2006/relationships/hyperlink" Target="https://github.com/marioreale/eosc-basic-compliance/actions/runs/36920498532" TargetMode="External"/><Relationship Id="rId49" Type="http://schemas.openxmlformats.org/officeDocument/2006/relationships/hyperlink" Target="https://github.com/marioreale/eosc-basic-compliance/actions/runs/37028804263" TargetMode="External"/><Relationship Id="rId47" Type="http://schemas.openxmlformats.org/officeDocument/2006/relationships/hyperlink" Target="https://github.com/marioreale/eosc-basic-compliance/actions/runs/37033017657" TargetMode="External"/><Relationship Id="rId45" Type="http://schemas.openxmlformats.org/officeDocument/2006/relationships/hyperlink" Target="https://github.com/marioreale/eosc-basic-compliance/actions/runs/3737484965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5 October 2026 for the re-issued checklist v3.2, 453 test cases</dc:creator>
  <dc:language>en-GB</dc:language>
  <cp:keywords/>
  <dcterms:created xsi:type="dcterms:W3CDTF">2026-10-05T21:30:11Z</dcterms:created>
  <dcterms:modified xsi:type="dcterms:W3CDTF">2026-10-05T21:30:11Z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