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Thematic Clustering and Comparative Analysis</w:t>
      </w:r>
    </w:p>
    <w:p>
      <w:r>
        <w:t>This document presents the thematic clustering, cross-cluster comparative analysis, and future research directions derived from the Literature Analysis Matrix of 50 studies on computer vision and machine learning models for detecting safety violations in educational institutions.</w:t>
      </w:r>
    </w:p>
    <w:p>
      <w:pPr>
        <w:pStyle w:val="Heading2"/>
      </w:pPr>
      <w:r>
        <w:t>1. Table of Thematic Clusters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14"/>
            <w:shd w:fill="2B579A" w:val="clear"/>
          </w:tcPr>
          <w:p>
            <w:pPr>
              <w:jc w:val="center"/>
            </w:pPr>
            <w:r/>
            <w:r>
              <w:rPr>
                <w:rFonts w:ascii="Times New Roman" w:hAnsi="Times New Roman"/>
                <w:b/>
                <w:color w:val="FFFFFF"/>
                <w:sz w:val="20"/>
              </w:rPr>
              <w:t>Cluster Title</w:t>
            </w:r>
          </w:p>
        </w:tc>
        <w:tc>
          <w:tcPr>
            <w:tcW w:type="dxa" w:w="2551"/>
            <w:shd w:fill="2B579A" w:val="clear"/>
          </w:tcPr>
          <w:p>
            <w:pPr>
              <w:jc w:val="center"/>
            </w:pPr>
            <w:r/>
            <w:r>
              <w:rPr>
                <w:rFonts w:ascii="Times New Roman" w:hAnsi="Times New Roman"/>
                <w:b/>
                <w:color w:val="FFFFFF"/>
                <w:sz w:val="20"/>
              </w:rPr>
              <w:t>Common Characteristics</w:t>
            </w:r>
          </w:p>
        </w:tc>
        <w:tc>
          <w:tcPr>
            <w:tcW w:type="dxa" w:w="2268"/>
            <w:shd w:fill="2B579A" w:val="clear"/>
          </w:tcPr>
          <w:p>
            <w:pPr>
              <w:jc w:val="center"/>
            </w:pPr>
            <w:r/>
            <w:r>
              <w:rPr>
                <w:rFonts w:ascii="Times New Roman" w:hAnsi="Times New Roman"/>
                <w:b/>
                <w:color w:val="FFFFFF"/>
                <w:sz w:val="20"/>
              </w:rPr>
              <w:t>Representative Studies</w:t>
            </w:r>
          </w:p>
        </w:tc>
        <w:tc>
          <w:tcPr>
            <w:tcW w:type="dxa" w:w="3118"/>
            <w:shd w:fill="2B579A" w:val="clear"/>
          </w:tcPr>
          <w:p>
            <w:pPr>
              <w:jc w:val="center"/>
            </w:pPr>
            <w:r/>
            <w:r>
              <w:rPr>
                <w:rFonts w:ascii="Times New Roman" w:hAnsi="Times New Roman"/>
                <w:b/>
                <w:color w:val="FFFFFF"/>
                <w:sz w:val="20"/>
              </w:rPr>
              <w:t>Summary of Key Findings</w:t>
            </w:r>
          </w:p>
        </w:tc>
      </w:tr>
      <w:tr>
        <w:tc>
          <w:tcPr>
            <w:tcW w:type="dxa" w:w="1814"/>
          </w:tcPr>
          <w:p>
            <w:r/>
            <w:r>
              <w:rPr>
                <w:rFonts w:ascii="Times New Roman" w:hAnsi="Times New Roman"/>
                <w:b/>
                <w:sz w:val="18"/>
              </w:rPr>
              <w:t>Deep Learning Architectures</w:t>
            </w:r>
          </w:p>
        </w:tc>
        <w:tc>
          <w:tcPr>
            <w:tcW w:type="dxa" w:w="2551"/>
          </w:tcPr>
          <w:p>
            <w:r/>
            <w:r>
              <w:rPr>
                <w:rFonts w:ascii="Times New Roman" w:hAnsi="Times New Roman"/>
                <w:sz w:val="18"/>
              </w:rPr>
              <w:t>Studies that design, compare, or optimize neural network topologies (CNN, LSTM, GRU, ResNet, MobileNet, YOLO, 3D CNN, autoencoder) for spatiotemporal feature extraction from surveillance video. Focus on architectural innovation and computational efficiency trade-offs.</w:t>
            </w:r>
          </w:p>
        </w:tc>
        <w:tc>
          <w:tcPr>
            <w:tcW w:type="dxa" w:w="2268"/>
          </w:tcPr>
          <w:p>
            <w:r/>
            <w:r>
              <w:rPr>
                <w:rFonts w:ascii="Times New Roman" w:hAnsi="Times New Roman"/>
                <w:sz w:val="18"/>
              </w:rPr>
              <w:t>Altowairqi et al. (2026); Ul Amin et al. (2024); Dey et al. (2024); Khan et al. (2024); Ul Amin et al. (2022)</w:t>
            </w:r>
          </w:p>
        </w:tc>
        <w:tc>
          <w:tcPr>
            <w:tcW w:type="dxa" w:w="3118"/>
          </w:tcPr>
          <w:p>
            <w:r/>
            <w:r>
              <w:rPr>
                <w:rFonts w:ascii="Times New Roman" w:hAnsi="Times New Roman"/>
                <w:sz w:val="18"/>
              </w:rPr>
              <w:t>Hybrid architectures integrating 3D convolutions or pre-trained 2D CNNs with recurrent units (LSTM, BiLSTM, GRU) and attention mechanisms consistently achieve &gt;95% accuracy on controlled benchmarks. Lightweight variants (MobileNet, VD-Net) demonstrate competitive performance with substantially reduced computational requirements suitable for edge deployment.</w:t>
            </w:r>
          </w:p>
        </w:tc>
      </w:tr>
      <w:tr>
        <w:tc>
          <w:tcPr>
            <w:tcW w:type="dxa" w:w="1814"/>
          </w:tcPr>
          <w:p>
            <w:r/>
            <w:r>
              <w:rPr>
                <w:rFonts w:ascii="Times New Roman" w:hAnsi="Times New Roman"/>
                <w:b/>
                <w:sz w:val="18"/>
              </w:rPr>
              <w:t>Temporal &amp; Motion Analysis</w:t>
            </w:r>
          </w:p>
        </w:tc>
        <w:tc>
          <w:tcPr>
            <w:tcW w:type="dxa" w:w="2551"/>
          </w:tcPr>
          <w:p>
            <w:r/>
            <w:r>
              <w:rPr>
                <w:rFonts w:ascii="Times New Roman" w:hAnsi="Times New Roman"/>
                <w:sz w:val="18"/>
              </w:rPr>
              <w:t>Studies emphasizing motion representation techniques — optical flow, spatiotemporal feature engineering, action and behavior recognition, and skeleton-based pose estimation — to capture the dynamic dimension of violent or anomalous events.</w:t>
            </w:r>
          </w:p>
        </w:tc>
        <w:tc>
          <w:tcPr>
            <w:tcW w:type="dxa" w:w="2268"/>
          </w:tcPr>
          <w:p>
            <w:r/>
            <w:r>
              <w:rPr>
                <w:rFonts w:ascii="Times New Roman" w:hAnsi="Times New Roman"/>
                <w:sz w:val="18"/>
              </w:rPr>
              <w:t>Mahmoodi &amp; Nezamabadi-Pour (2025); Garcia-Cobo &amp; SanMiguel (2023); Omarov et al. (2022); Park et al. (2024); Yang et al. (2025)</w:t>
            </w:r>
          </w:p>
        </w:tc>
        <w:tc>
          <w:tcPr>
            <w:tcW w:type="dxa" w:w="3118"/>
          </w:tcPr>
          <w:p>
            <w:r/>
            <w:r>
              <w:rPr>
                <w:rFonts w:ascii="Times New Roman" w:hAnsi="Times New Roman"/>
                <w:sz w:val="18"/>
              </w:rPr>
              <w:t>Optical flow-based statistical features enable 2D CNNs to achieve performance comparable to more expensive 3D CNNs. Skeleton-based approaches using pose estimation abstract away from appearance-based biases, showing particular promise for child-specific applications where body proportions differ from adult training data.</w:t>
            </w:r>
          </w:p>
        </w:tc>
      </w:tr>
      <w:tr>
        <w:tc>
          <w:tcPr>
            <w:tcW w:type="dxa" w:w="1814"/>
          </w:tcPr>
          <w:p>
            <w:r/>
            <w:r>
              <w:rPr>
                <w:rFonts w:ascii="Times New Roman" w:hAnsi="Times New Roman"/>
                <w:b/>
                <w:sz w:val="18"/>
              </w:rPr>
              <w:t>Application &amp; Deployment</w:t>
            </w:r>
          </w:p>
        </w:tc>
        <w:tc>
          <w:tcPr>
            <w:tcW w:type="dxa" w:w="2551"/>
          </w:tcPr>
          <w:p>
            <w:r/>
            <w:r>
              <w:rPr>
                <w:rFonts w:ascii="Times New Roman" w:hAnsi="Times New Roman"/>
                <w:sz w:val="18"/>
              </w:rPr>
              <w:t>Studies focused on real-world deployment of detection systems — violence detection, anomaly detection, weapon/firearm detection — in surveillance contexts (CCTV, IoT, edge computing, crowd analysis) with emphasis on real-time performance, integration with security infrastructure, and practical constraints.</w:t>
            </w:r>
          </w:p>
        </w:tc>
        <w:tc>
          <w:tcPr>
            <w:tcW w:type="dxa" w:w="2268"/>
          </w:tcPr>
          <w:p>
            <w:r/>
            <w:r>
              <w:rPr>
                <w:rFonts w:ascii="Times New Roman" w:hAnsi="Times New Roman"/>
                <w:sz w:val="18"/>
              </w:rPr>
              <w:t>Tapia Leon et al. (2026); Berardini et al. (2024); Vo et al. (2024); Mukto et al. (2024); Abi-Nader et al. (2025)</w:t>
            </w:r>
          </w:p>
        </w:tc>
        <w:tc>
          <w:tcPr>
            <w:tcW w:type="dxa" w:w="3118"/>
          </w:tcPr>
          <w:p>
            <w:r/>
            <w:r>
              <w:rPr>
                <w:rFonts w:ascii="Times New Roman" w:hAnsi="Times New Roman"/>
                <w:sz w:val="18"/>
              </w:rPr>
              <w:t>YOLO-family architectures (v5–v8) and SSD-based detectors achieve real-time throughput on commodity and edge hardware (NVIDIA Jetson Nano), with weapon detection mAP scores exceeding 90%. IoT-integrated systems demonstrate successful end-to-end pipelines from detection to automated alerting via Telegram or other messaging platforms.</w:t>
            </w:r>
          </w:p>
        </w:tc>
      </w:tr>
      <w:tr>
        <w:tc>
          <w:tcPr>
            <w:tcW w:type="dxa" w:w="1814"/>
          </w:tcPr>
          <w:p>
            <w:r/>
            <w:r>
              <w:rPr>
                <w:rFonts w:ascii="Times New Roman" w:hAnsi="Times New Roman"/>
                <w:b/>
                <w:sz w:val="18"/>
              </w:rPr>
              <w:t>Methods &amp; Techniques</w:t>
            </w:r>
          </w:p>
        </w:tc>
        <w:tc>
          <w:tcPr>
            <w:tcW w:type="dxa" w:w="2551"/>
          </w:tcPr>
          <w:p>
            <w:r/>
            <w:r>
              <w:rPr>
                <w:rFonts w:ascii="Times New Roman" w:hAnsi="Times New Roman"/>
                <w:sz w:val="18"/>
              </w:rPr>
              <w:t>Studies bridging architecture and application through transfer learning, attention mechanisms, feature extraction, pose estimation, and object detection techniques. These works provide methodological foundations that enable the advances reported in the other three clusters.</w:t>
            </w:r>
          </w:p>
        </w:tc>
        <w:tc>
          <w:tcPr>
            <w:tcW w:type="dxa" w:w="2268"/>
          </w:tcPr>
          <w:p>
            <w:r/>
            <w:r>
              <w:rPr>
                <w:rFonts w:ascii="Times New Roman" w:hAnsi="Times New Roman"/>
                <w:sz w:val="18"/>
              </w:rPr>
              <w:t>Shin et al. (2025); Dalal et al. (2024); Singh et al. (2025); Jebur et al. (2023); Aldehim et al. (2023)</w:t>
            </w:r>
          </w:p>
        </w:tc>
        <w:tc>
          <w:tcPr>
            <w:tcW w:type="dxa" w:w="3118"/>
          </w:tcPr>
          <w:p>
            <w:r/>
            <w:r>
              <w:rPr>
                <w:rFonts w:ascii="Times New Roman" w:hAnsi="Times New Roman"/>
                <w:sz w:val="18"/>
              </w:rPr>
              <w:t>Attention mechanisms (self-attention, multi-head, channel attention) deliver consistent improvements of 2–4% over non-attention baselines. Transfer learning from ImageNet-pre-trained models significantly reduces data requirements and training time while maintaining high accuracy. Multimodal fusion (RGB + optical flow + audio) outperforms unimodal approaches by approximately 2% average precision.</w:t>
            </w:r>
          </w:p>
        </w:tc>
      </w:tr>
    </w:tbl>
    <w:p>
      <w:pPr>
        <w:pStyle w:val="Heading2"/>
      </w:pPr>
      <w:r>
        <w:t>2. Cross-Cluster Comparative Analysis</w:t>
      </w:r>
    </w:p>
    <w:p/>
    <w:p>
      <w:r>
        <w:t>The four thematic clusters exhibit both complementary synergies and meaningful distinctions. A shared foundation across all clusters is the reliance on deep learning as the core computational paradigm: whether architecting novel networks (Cluster 1), modeling motion dynamics (Cluster 2), deploying operational systems (Cluster 3), or advancing methodological techniques (Cluster 4), every reviewed study depends on convolutional or recurrent neural architectures for feature representation. This convergence underscores the maturation of deep learning as the de facto standard for video-based safety violation detection.</w:t>
      </w:r>
    </w:p>
    <w:p>
      <w:r>
        <w:t>However, notable differences emerge in how the clusters prioritize competing objectives. Cluster 1 (Architectures) emphasizes accuracy maximization through increasingly sophisticated network designs, often at the cost of computational complexity. In contrast, Cluster 3 (Application &amp; Deployment) explicitly privileges real-time throughput and hardware efficiency, favoring lightweight YOLO and MobileNet variants over the deeper architectures promoted in Cluster 1. This tension between accuracy and deployability represents a central fault line in the current literature. Cluster 2 (Temporal &amp; Motion Analysis) and Cluster 4 (Methods &amp; Techniques) function as methodological bridges: the motion representation strategies from Cluster 2 provide the temporal understanding that Clusters 1 and 3 depend upon, while the transfer learning and attention mechanisms from Cluster 4 enhance the performance of models in all other clusters. Notably, few studies have addressed the intersection of lightweight architectures (Cluster 1/3) with skeleton-based child-specific modeling (Cluster 2), representing a significant underexplored area.</w:t>
      </w:r>
    </w:p>
    <w:p>
      <w:r>
        <w:t>Research gaps identifiable across clusters include: (a) the near-total absence of child-specific annotated datasets for training and evaluation, as most benchmarks feature adult subjects in generic public spaces; (b) insufficient attention to privacy-preserving architectures suitable for monitoring minors in educational settings; (c) limited cross-cluster integration, particularly combining skeleton-based pose estimation with edge-deployable lightweight models; and (d) a geographic concentration of research in South and East Asia that constrains the global generalizability of published findings to diverse educational contexts.</w:t>
      </w:r>
    </w:p>
    <w:p>
      <w:pPr>
        <w:pStyle w:val="Heading2"/>
      </w:pPr>
      <w:r>
        <w:t>3. Future Research Recommendations</w:t>
      </w:r>
    </w:p>
    <w:p>
      <w:r>
        <w:t>Future research should prioritize three directions. First, the creation and open dissemination of annotated datasets capturing diverse child behaviors in authentic school environments — building on nascent efforts such as the CABAD and Daily School Break datasets — is essential for validating model transferability from adult-centric benchmarks to educational settings. Second, the integration of skeleton-based pose estimation with lightweight edge-deployable architectures (e.g., quantized YOLO or MobileNet variants) would address the accuracy–efficiency trade-off that currently fragments the literature across clusters. Third, privacy-preserving techniques such as on-device processing, federated learning, and differential privacy should be systematically incorporated into detection pipelines, given that continuous video monitoring of minors in schools raises distinct ethical and regulatory challenges that the current literature largely overlooks. Finally, cross-domain robustness evaluations — testing models across different schools, camera configurations, lighting conditions, and cultural contexts — should become a standard component of evaluation protocols to ensure that laboratory-validated systems translate reliably to real-world educational deployments.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