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5. Conclusion</w:t>
      </w:r>
    </w:p>
    <w:p>
      <w:r>
        <w:t>This study has presented a systematic and bibliometric review of 50 peer-reviewed publications (2022–2026) addressing computer vision and machine learning models for detecting safety violations in educational institutions. Through a hybrid methodology combining PRISMA-guided literature screening with VOSviewer-style keyword co-occurrence analysis and CiteSpace-style burst detection, the review identifies the intellectual structure, temporal trends, and thematic clusters characterizing this emerging research domain.</w:t>
      </w:r>
    </w:p>
    <w:p>
      <w:r>
        <w:t>The key findings are threefold. First, hybrid deep learning architectures that integrate convolutional neural networks with recurrent units and attention mechanisms constitute the dominant technical paradigm, consistently achieving detection accuracies exceeding 90% on standard benchmarks. Second, a discernible shift toward lightweight, edge-deployable models is underway, driven by YOLO-family object detectors and MobileNet-based feature extractors, reflecting the practical constraints of real-world educational surveillance infrastructure. Third, despite these advances, the field remains constrained by a critical shortage of child-specific datasets, limited geographic and demographic diversity in training data, and a near-total absence of privacy-aware design considerations.</w:t>
      </w:r>
    </w:p>
    <w:p>
      <w:r>
        <w:t>The practical significance of this body of work is considerable: automated violence and weapon detection systems have the potential to augment — though not replace — human supervision in schools, enabling faster response times to physical altercations and security threats. However, the deployment of such systems must be accompanied by robust ethical frameworks, transparent algorithmic decision-making, and meaningful engagement with the communities they are intended to protect.</w:t>
      </w:r>
    </w:p>
    <w:p>
      <w:r>
        <w:t>Several limitations of this review must be acknowledged. The corpus was restricted to English-language publications indexed in Scopus, Web of Science, and Google Scholar, potentially excluding relevant work published in regional journals or conference proceedings. The keyword-based bibliometric analysis relies on a curated vocabulary that, while comprehensive, may not capture the full terminological diversity of this interdisciplinary domain. The rapid pace of publication in this field means that additional relevant studies may have appeared between the search date and publication.</w:t>
      </w:r>
    </w:p>
    <w:p>
      <w:r>
        <w:t>Future research should prioritize the creation and open dissemination of annotated datasets capturing diverse child behaviors in authentic school settings; the development of explainable, privacy-preserving detection architectures suitable for deployment on low-cost edge hardware; and rigorous field evaluations that complement benchmark performance with real-world reliability, usability, and stakeholder acceptance metrics. The confluence of advanced computer vision, efficient deep learning, and urgent societal need positions this research area as one of considerable scientific importance and humanitarian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