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4. Discussion</w:t>
      </w:r>
    </w:p>
    <w:p>
      <w:pPr>
        <w:pStyle w:val="Heading2"/>
      </w:pPr>
      <w:r>
        <w:t>4.1 Interpretation of Findings</w:t>
      </w:r>
    </w:p>
    <w:p>
      <w:r>
        <w:t>The bibliometric analysis reveals a rapidly maturing research landscape centered on deep learning-driven surveillance for safety violation detection. The dominance of the CNN–LSTM architectural paradigm, observed in 26 of 50 reviewed studies, indicates a broad consensus that effective video anomaly detection requires the integration of spatial feature extraction with temporal sequence modeling. The recent surge in attention mechanism adoption — identified by the burst analysis as a 2025–2026 phenomenon — suggests that the field is moving beyond naive concatenation of spatial and temporal streams toward more sophisticated feature weighting and contextual reasoning [Altowairqi et al., 2026; Dey et al., 2024].</w:t>
      </w:r>
    </w:p>
    <w:p>
      <w:r>
        <w:t>The emergence of YOLO-family architectures as the preferred object detection backbone for weapon and firearm identification highlights a practical shift toward real-time deployability. Studies employing YOLOv5 through YOLOv8 consistently report inference speeds compatible with live video processing on commodity hardware [Tapia Leon et al., 2026; Berardini et al., 2024; Dalal et al., 2024]. The parallel growth of the edge computing and IoT cluster indicates that the research community is actively addressing the deployment gap between laboratory benchmarks and operational school environments.</w:t>
      </w:r>
    </w:p>
    <w:p>
      <w:pPr>
        <w:pStyle w:val="Heading2"/>
      </w:pPr>
      <w:r>
        <w:t>4.2 Most Effective Methods</w:t>
      </w:r>
    </w:p>
    <w:p>
      <w:r>
        <w:t>The evidence suggests that hybrid architectures combining 3D convolutions or pre-trained 2D CNNs with recurrent units (LSTM, BiLSTM, or GRU) and attention mechanisms achieve the strongest overall performance, with reported accuracies frequently exceeding 95% on controlled benchmarks [Dey et al., 2024; Jebur et al., 2023; Kozhamkulova et al., 2023]. For weapon detection specifically, YOLOv5 and Scaled-YOLOv4 variants demonstrate the most favorable accuracy–speed trade-off, achieving mean Average Precision scores above 90% while maintaining real-time throughput [Ahmed et al., 2022; Abi-Nader et al., 2025]. Skeleton-based approaches that leverage pose estimation as a preprocessing step before classification show particular promise for child-specific applications, as they abstract away from appearance-based features that may introduce age-related biases [Omarov et al., 2022; Garcia-Cobo &amp; SanMiguel, 2023].</w:t>
      </w:r>
    </w:p>
    <w:p>
      <w:pPr>
        <w:pStyle w:val="Heading2"/>
      </w:pPr>
      <w:r>
        <w:t>4.3 Limitations of Current Research</w:t>
      </w:r>
    </w:p>
    <w:p>
      <w:r>
        <w:t>Several limitations pervade the reviewed literature. First, dataset bias represents a critical concern: the most commonly used benchmarks (UCF-Crime, ShanghaiTech Campus, Hockey Fights) feature predominantly adult subjects in non-educational settings, raising questions about the transferability of trained models to school environments with children [Ali et al., 2025]. Child bodies exhibit different proportions, movement dynamics, and interaction patterns compared to adult bodies, and models trained exclusively on adult data may systematically underperform when deployed in schools. Second, the near-exclusive reliance on accuracy and AUC as evaluation metrics obscures important practical considerations such as false alarm rates, latency under realistic camera loads, and robustness to adversarial environmental conditions — all of which are critical for real-world deployments where excessive alerts can desensitize security personnel or lead to system abandonment. Third, privacy implications are conspicuously absent from the technical discourse: only two of the 50 reviewed papers mention privacy considerations or data protection frameworks, despite the sensitive nature of continuous video monitoring of minors in educational settings [Perseghin &amp; Foresti, 2023]. Fourth, the geographic concentration of research in South and East Asia limits the diversity of environmental conditions, camera configurations, architectural layouts, and behavioral norms represented in the evidence base, potentially constraining the global generalizability of published findings. Finally, nearly all reviewed studies evaluate their systems in isolation from existing school security workflows, leaving unexamined the critical human–computer interaction questions of how automated alerts are received, trusted, and acted upon by school staff.</w:t>
      </w:r>
    </w:p>
    <w:p>
      <w:pPr>
        <w:pStyle w:val="Heading2"/>
      </w:pPr>
      <w:r>
        <w:t>4.4 Future Research Directions</w:t>
      </w:r>
    </w:p>
    <w:p>
      <w:r>
        <w:t>The findings suggest several priority directions. Multimodal fusion that integrates RGB video with audio signals, thermal imaging, and contextual metadata may substantially improve detection robustness in challenging conditions such as low illumination, occlusion, or crowded scenes where visual-only signals prove insufficient [Shin et al., 2025; Srihari &amp; Harikiran, 2022]. The development of child-specific annotated datasets, such as the recently introduced CABAD benchmark for child aggression recognition [Ali et al., 2025] and the Daily School Break dataset [Perseghin &amp; Foresti, 2023], represents an essential foundation for advancing this domain, and these efforts should be expanded to encompass diverse age ranges, cultural contexts, and school environments. Lightweight model optimization through quantization, pruning, and neural architecture search is critical for enabling deployment on the resource-constrained hardware typically available to educational institutions, and several recent contributions in this direction [Dalal et al., 2024; Khan et al., 2024] demonstrate that competitive accuracy can be maintained while reducing model size by an order of magnitude. Furthermore, cross-domain adversarial robustness testing — evaluating models across different schools, camera types, lighting conditions, and student demographics — should become a standard component of evaluation protocols. Finally, explainable AI techniques should be integrated into detection pipelines to provide interpretable justifications for alerts, thereby enhancing trust and accountability among school administrators, parents, and safeguarding stakeholders who must make consequential decisions based on system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