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1. Introduction</w:t>
      </w:r>
    </w:p>
    <w:p>
      <w:r>
        <w:t>The safety and well-being of children within educational institutions has emerged as one of the most pressing societal concerns of the past decade. Incidents of school violence, physical bullying, and concealed weapon possession continue to be reported across both developed and developing nations, underscoring the limitations of traditional manual surveillance approaches [Tapia Leon et al., 2026; Kozhamkulova et al., 2023]. Closed-circuit television (CCTV) systems are now ubiquitous in schools, yet the vast majority of these installations rely on passive recording or human operators who must simultaneously monitor dozens of screens — a task for which humans are demonstrably ill-suited due to fatigue, inattention, and limited cognitive bandwidth [Mukto et al., 2024; Vo et al., 2024].</w:t>
      </w:r>
    </w:p>
    <w:p>
      <w:r>
        <w:t>In parallel, the field of computer vision has undergone a transformative shift with the advent of deep learning architectures. Convolutional Neural Networks (CNNs), Long Short-Term Memory networks (LSTMs), attention mechanisms, and real-time object detection frameworks such as YOLO have demonstrated remarkable capabilities in extracting meaningful patterns from video data [Altowairqi et al., 2026; Singh et al., 2025; Dalal et al., 2024]. These advances have catalyzed a growing body of research at the intersection of automated video analysis and public safety, with particular emphasis on violence detection, anomaly recognition, and weapon identification in surveillance footage [Mahmoodi &amp; Nezamabadi-Pour, 2025; Abi-Nader et al., 2025; Berardini et al., 2024].</w:t>
      </w:r>
    </w:p>
    <w:p>
      <w:r>
        <w:t>Despite this progress, several critical gaps persist. First, the majority of existing studies focus on general-purpose public surveillance — streets, transit hubs, and stadiums — with comparatively limited attention devoted to the unique constraints of educational environments [Perseghin &amp; Foresti, 2023; Ha et al., 2023]. Second, many state-of-the-art models rely on computationally expensive architectures that are impractical for deployment in schools with limited hardware budgets [Vijeikis et al., 2022; Muriithi et al., 2024]. Third, there is a notable scarcity of child-specific annotated datasets for training and evaluating detection models, as most benchmark corpora feature adult subjects in generic settings [Ali et al., 2025; Omarov et al., 2022]. Fourth, the ethical and privacy implications of deploying AI-based surveillance on minors remain underexplored in the technical literature.</w:t>
      </w:r>
    </w:p>
    <w:p>
      <w:r>
        <w:t>This review addresses these gaps through a systematic and bibliometric analysis of 50 peer-reviewed studies published between 2022 and 2026, sourced from Scopus, Web of Science, and Google Scholar. The primary research questions guiding this investigation are: (1) What deep learning architectures and computer vision techniques are most commonly applied to detect safety violations in educational settings? (2) What datasets and evaluation protocols dominate the current literature, and what are their limitations for child-focused applications? (3) What thematic clusters and temporal trends characterize this emerging research domain? (4) What are the principal challenges and future directions for deploying these systems in real-world educational environments?</w:t>
      </w:r>
    </w:p>
    <w:p>
      <w:r>
        <w:t>The remainder of this article is structured as follows. Section 2 details the systematic and bibliometric methodology employed. Section 3 presents the results, including publication trends, keyword co-occurrence networks, thematic clusters, and citation burst analyses. Section 4 discusses the implications, effectiveness of current methods, and identified gaps. Section 5 concludes with a summary of contributions, practical recommendations, and directions for future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