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ind w:left="5385"/>
        <w:jc w:val="left"/>
      </w:pPr>
      <w:r>
        <w:rPr>
          <w:rFonts w:ascii="Times New Roman" w:hAnsi="Times New Roman" w:cs="Times New Roman" w:eastAsia="Times New Roman"/>
          <w:b/>
          <w:sz w:val="24"/>
        </w:rPr>
        <w:t>УТВЕРЖДАЮ</w:t>
        <w:br/>
      </w:r>
      <w:r>
        <w:rPr>
          <w:rFonts w:ascii="Times New Roman" w:hAnsi="Times New Roman" w:cs="Times New Roman" w:eastAsia="Times New Roman"/>
          <w:b/>
          <w:sz w:val="24"/>
        </w:rPr>
        <w:t>Декан Школы</w:t>
        <w:br/>
      </w:r>
      <w:r>
        <w:rPr>
          <w:rFonts w:ascii="Times New Roman" w:hAnsi="Times New Roman" w:cs="Times New Roman" w:eastAsia="Times New Roman"/>
          <w:b/>
          <w:sz w:val="24"/>
        </w:rPr>
        <w:t>программной инженерии</w:t>
        <w:br/>
      </w:r>
      <w:r>
        <w:rPr>
          <w:rFonts w:ascii="Times New Roman" w:hAnsi="Times New Roman" w:cs="Times New Roman" w:eastAsia="Times New Roman"/>
          <w:b/>
          <w:sz w:val="24"/>
        </w:rPr>
        <w:t>Astana IT University</w:t>
        <w:br/>
      </w:r>
      <w:r>
        <w:rPr>
          <w:rFonts w:ascii="Times New Roman" w:hAnsi="Times New Roman" w:cs="Times New Roman" w:eastAsia="Times New Roman"/>
          <w:b/>
          <w:sz w:val="24"/>
        </w:rPr>
        <w:t>___________ Адамова А.Д.</w:t>
        <w:br/>
      </w:r>
      <w:r>
        <w:rPr>
          <w:rFonts w:ascii="Times New Roman" w:hAnsi="Times New Roman" w:cs="Times New Roman" w:eastAsia="Times New Roman"/>
          <w:b/>
          <w:sz w:val="24"/>
        </w:rPr>
        <w:t>«____» ____________ 2026 г.</w:t>
      </w:r>
    </w:p>
    <w:p>
      <w:pPr>
        <w:spacing w:after="280" w:before="28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ГРАФИК РАБОТЫ МАГИСТРАНТА С НАУЧНЫМ РУКОВОДИТЕЛЕМ</w:t>
        <w:br/>
      </w:r>
      <w:r>
        <w:rPr>
          <w:rFonts w:ascii="Times New Roman" w:hAnsi="Times New Roman" w:cs="Times New Roman" w:eastAsia="Times New Roman"/>
          <w:b/>
          <w:sz w:val="24"/>
        </w:rPr>
        <w:t>на 2026–2027 учебный год</w:t>
      </w:r>
    </w:p>
    <w:p>
      <w:pPr>
        <w:spacing w:after="200" w:befor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ФИО магистранта: Ахметов Медет</w:t>
      </w:r>
    </w:p>
    <w:p>
      <w:pPr>
        <w:spacing w:after="200" w:befor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ФИО научного руководителя: Башеева Жулдыз</w:t>
      </w:r>
    </w:p>
    <w:tbl>
      <w:tblPr>
        <w:tblLook w:firstColumn="1" w:firstRow="1" w:lastColumn="0" w:lastRow="0" w:noHBand="0" w:noVBand="1" w:val="04A0"/>
        <w:tblW w:w="9344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00"/>
        <w:gridCol w:w="1120"/>
        <w:gridCol w:w="3720"/>
        <w:gridCol w:w="1200"/>
        <w:gridCol w:w="1200"/>
        <w:gridCol w:w="1704"/>
      </w:tblGrid>
      <w:tr>
        <w:trPr>
          <w:cantSplit/>
        </w:trPr>
        <w:tc>
          <w:tcPr>
            <w:tcW w:type="dxa" w:w="4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1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Триместр</w:t>
            </w:r>
          </w:p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Направление работы / задачи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Дата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Аудитория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Форма</w:t>
              <w:br/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работы</w:t>
            </w:r>
          </w:p>
        </w:tc>
      </w:tr>
      <w:tr>
        <w:trPr>
          <w:cantSplit/>
        </w:trPr>
        <w:tc>
          <w:tcPr>
            <w:tcW w:type="dxa" w:w="400"/>
            <w:vMerge w:val="restart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120"/>
            <w:vMerge w:val="restart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 триместр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(10 часов)</w:t>
            </w:r>
          </w:p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Подготовительный этап практики: постановка задач, согласование программы и календарного плана; уточнение гипотез; замысел статьи для журнала Scopus и выбор журнала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07.09.2026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Теоретико-аналитический этап: обновление обзора литературы; система метрик детекции и оценки моделей; таксономия нарушений безопасности и признаков сцены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21.09.2026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Работа с данными и начало экспериментального этапа: наборы видеоданных и протокол разметки; экспериментальный стенд и baseline-модели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05.10.2026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Экспериментальный этап: пространственно-временные модели детекции; анализ точности и задержки вывода (mAP, F1, latency); результаты для статьи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19.10.2026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Подготовка публикации и отчётный этап: разбор черновика статьи для журнала Scopus; итоговый отчёт по практике, подготовка к защите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09.11.2026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cs="Times New Roman" w:eastAsia="Times New Roman"/>
          <w:b w:val="0"/>
          <w:sz w:val="24"/>
        </w:rPr>
        <w:br w:type="page"/>
      </w:r>
    </w:p>
    <w:tbl>
      <w:tblPr>
        <w:tblLook w:firstColumn="1" w:firstRow="1" w:lastColumn="0" w:lastRow="0" w:noHBand="0" w:noVBand="1" w:val="04A0"/>
        <w:tblW w:w="9344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00"/>
        <w:gridCol w:w="1120"/>
        <w:gridCol w:w="3720"/>
        <w:gridCol w:w="1200"/>
        <w:gridCol w:w="1200"/>
        <w:gridCol w:w="1704"/>
      </w:tblGrid>
      <w:tr>
        <w:trPr>
          <w:cantSplit/>
        </w:trPr>
        <w:tc>
          <w:tcPr>
            <w:tcW w:type="dxa" w:w="400"/>
            <w:vMerge w:val="restart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120"/>
            <w:vMerge w:val="restart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 триместр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(10 часов)</w:t>
            </w:r>
          </w:p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Доработка статьи по результатам экспериментального исследования по замечаниям научного руководителя; оформление по требованиям журнала Scopus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07.12.2026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Финальная вычитка и подача статьи в журнал Scopus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21.12.2026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Постановка задач НИРМ на 5-й триместр; ответы на замечания рецензентов по статье (при получении)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11.01.2027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Дополнительные эксперименты по замечаниям рецензентов; кросс-доменная проверка моделей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25.01.2027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Отчёт по НИРМ за 5-й триместр; включение результатов статьи в структуру диссертации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08.02.2027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 w:val="restart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120"/>
            <w:vMerge w:val="restart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 триместр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(15 часов)</w:t>
            </w:r>
          </w:p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Постановка задач 3-го триместра; план завершения диссертационной работы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15.03.2027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Статус публикации; доработка рукописи по рецензии (при необходимости)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29.03.2027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Программный прототип системы обнаружения нарушений безопасности; постановка задач реализации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12.04.2027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Теоретико-методологическая глава: структура, логика изложения, полнота литературной базы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26.04.2027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Методическая глава: описание данных, моделей, метрик и процедуры анализа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03.05.2027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Апробация прототипа; интерпретация результатов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17.05.2027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Формулировка выводов диссертации; ограничения работы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24.05.2027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400"/>
            <w:vMerge/>
          </w:tcPr>
          <w:p/>
        </w:tc>
        <w:tc>
          <w:tcPr>
            <w:tcW w:type="dxa" w:w="1120"/>
            <w:vMerge/>
          </w:tcPr>
          <w:p/>
        </w:tc>
        <w:tc>
          <w:tcPr>
            <w:tcW w:type="dxa" w:w="37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Сведение полного текста диссертации; антиплагиат, подготовка к защите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31.05.2027</w:t>
            </w:r>
          </w:p>
        </w:tc>
        <w:tc>
          <w:tcPr>
            <w:tcW w:type="dxa" w:w="120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1.3.354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Консультация</w:t>
            </w:r>
          </w:p>
        </w:tc>
      </w:tr>
      <w:tr>
        <w:trPr>
          <w:cantSplit/>
        </w:trPr>
        <w:tc>
          <w:tcPr>
            <w:tcW w:type="dxa" w:w="7795"/>
            <w:gridSpan w:val="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Всего</w:t>
            </w:r>
          </w:p>
        </w:tc>
        <w:tc>
          <w:tcPr>
            <w:tcW w:type="dxa" w:w="170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35 часов</w:t>
            </w:r>
          </w:p>
        </w:tc>
      </w:tr>
    </w:tbl>
    <w:p>
      <w:pPr>
        <w:spacing w:after="280" w:before="5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Магистрант: Ахметов Медет / ____________________</w:t>
      </w:r>
    </w:p>
    <w:p>
      <w:pPr>
        <w:spacing w:after="0" w:befor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Научный руководитель: Башеева Жулдыз / _____________________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850" w:bottom="1134" w:left="1701" w:header="10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W w:w="9344" w:type="dxa"/>
      <w:tblLayout w:type="fixed"/>
    </w:tblPr>
    <w:tblGrid>
      <w:gridCol w:w="3100"/>
      <w:gridCol w:w="3200"/>
      <w:gridCol w:w="3044"/>
    </w:tblGrid>
    <w:tr>
      <w:tc>
        <w:tcPr>
          <w:tcW w:type="dxa" w:w="3100"/>
          <w:tcMar>
            <w:top w:w="40" w:type="dxa"/>
            <w:start w:w="40" w:type="dxa"/>
            <w:bottom w:w="40" w:type="dxa"/>
            <w:end w:w="40" w:type="dxa"/>
          </w:tcMar>
          <w:vAlign w:val="center"/>
          <w:tcMar>
            <w:top w:w="40" w:type="dxa"/>
            <w:start w:w="40" w:type="dxa"/>
            <w:bottom w:w="40" w:type="dxa"/>
            <w:end w:w="40" w:type="dxa"/>
          </w:tcMar>
        </w:tcPr>
        <w:p>
          <w:pPr>
            <w:spacing w:after="0" w:before="0"/>
            <w:jc w:val="left"/>
          </w:pPr>
          <w:r>
            <w:rPr>
              <w:rFonts w:ascii="Times New Roman" w:hAnsi="Times New Roman" w:cs="Times New Roman" w:eastAsia="Times New Roman"/>
              <w:b/>
              <w:sz w:val="24"/>
            </w:rPr>
            <w:t>«Astana IT University»</w:t>
            <w:br/>
          </w:r>
          <w:r>
            <w:rPr>
              <w:rFonts w:ascii="Times New Roman" w:hAnsi="Times New Roman" w:cs="Times New Roman" w:eastAsia="Times New Roman"/>
              <w:b/>
              <w:sz w:val="24"/>
            </w:rPr>
            <w:t>жауапкершілігі шектеулі</w:t>
            <w:br/>
          </w:r>
          <w:r>
            <w:rPr>
              <w:rFonts w:ascii="Times New Roman" w:hAnsi="Times New Roman" w:cs="Times New Roman" w:eastAsia="Times New Roman"/>
              <w:b/>
              <w:sz w:val="24"/>
            </w:rPr>
            <w:t>серіктестігі</w:t>
          </w:r>
        </w:p>
      </w:tc>
      <w:tc>
        <w:tcPr>
          <w:tcW w:type="dxa" w:w="3200"/>
          <w:tcMar>
            <w:top w:w="40" w:type="dxa"/>
            <w:start w:w="40" w:type="dxa"/>
            <w:bottom w:w="40" w:type="dxa"/>
            <w:end w:w="40" w:type="dxa"/>
          </w:tcMar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625600" cy="863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5600" cy="863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44"/>
          <w:tcMar>
            <w:top w:w="40" w:type="dxa"/>
            <w:start w:w="40" w:type="dxa"/>
            <w:bottom w:w="40" w:type="dxa"/>
            <w:end w:w="40" w:type="dxa"/>
          </w:tcMar>
          <w:vAlign w:val="center"/>
          <w:tcMar>
            <w:top w:w="40" w:type="dxa"/>
            <w:start w:w="40" w:type="dxa"/>
            <w:bottom w:w="40" w:type="dxa"/>
            <w:end w:w="40" w:type="dxa"/>
          </w:tcMar>
        </w:tcPr>
        <w:p>
          <w:pPr>
            <w:spacing w:after="0" w:before="0"/>
            <w:jc w:val="right"/>
          </w:pPr>
          <w:r>
            <w:rPr>
              <w:rFonts w:ascii="Times New Roman" w:hAnsi="Times New Roman" w:cs="Times New Roman" w:eastAsia="Times New Roman"/>
              <w:b/>
              <w:sz w:val="24"/>
            </w:rPr>
            <w:t>«Astana IT University»</w:t>
            <w:br/>
          </w:r>
          <w:r>
            <w:rPr>
              <w:rFonts w:ascii="Times New Roman" w:hAnsi="Times New Roman" w:cs="Times New Roman" w:eastAsia="Times New Roman"/>
              <w:b/>
              <w:sz w:val="24"/>
            </w:rPr>
            <w:t>Limited Liability</w:t>
            <w:br/>
          </w:r>
          <w:r>
            <w:rPr>
              <w:rFonts w:ascii="Times New Roman" w:hAnsi="Times New Roman" w:cs="Times New Roman" w:eastAsia="Times New Roman"/>
              <w:b/>
              <w:sz w:val="24"/>
            </w:rPr>
            <w:t>Partnership</w:t>
          </w:r>
        </w:p>
      </w:tc>
    </w:tr>
  </w:tbl>
  <w:p>
    <w:pPr>
      <w:spacing w:before="80" w:after="0"/>
      <w:ind w:left="-432"/>
      <w:jc w:val="left"/>
    </w:pPr>
    <w:r>
      <w:drawing>
        <wp:inline xmlns:a="http://schemas.openxmlformats.org/drawingml/2006/main" xmlns:pic="http://schemas.openxmlformats.org/drawingml/2006/picture">
          <wp:extent cx="6120384" cy="762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u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20384" cy="76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