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b/>
          <w:bCs/>
          <w:color w:val="1F4E79"/>
          <w:sz w:val="40"/>
          <w:szCs w:val="40"/>
        </w:rPr>
        <w:t xml:space="preserve">Natural Gamma-Ray Simulation with Geant4</w:t>
      </w:r>
    </w:p>
    <w:p>
      <w:pPr>
        <w:spacing w:after="80"/>
      </w:pPr>
      <w:r>
        <w:rPr>
          <w:color w:val="404040"/>
          <w:sz w:val="24"/>
          <w:szCs w:val="24"/>
        </w:rPr>
        <w:t xml:space="preserve">How the PyBorehole gamma-ray model works: inputs, geometry, physics and typical K, U, Th values</w:t>
      </w:r>
    </w:p>
    <w:p>
      <w:pPr>
        <w:pBdr>
          <w:bottom w:val="single" w:color="1F4E79" w:sz="8" w:space="4"/>
        </w:pBdr>
        <w:spacing w:after="240"/>
      </w:pPr>
      <w:r>
        <w:rPr>
          <w:color w:val="7F7F7F"/>
          <w:sz w:val="20"/>
          <w:szCs w:val="20"/>
        </w:rPr>
        <w:t xml:space="preserve">PyBorehole • October 2026</w:t>
      </w:r>
    </w:p>
    <w:p>
      <w:pPr>
        <w:pStyle w:val="Heading1"/>
      </w:pPr>
      <w:r>
        <w:t xml:space="preserve">1. Summary</w:t>
      </w:r>
    </w:p>
    <w:p>
      <w:pPr>
        <w:spacing w:after="120" w:line="276"/>
      </w:pPr>
      <w:r>
        <w:t xml:space="preserve">PyBorehole simulates what a natural gamma-ray (GR) logging tool measures in a backfilled borehole through a layered earth, with and without the borehole, so that the borehole effect can be quantified. The photon transport is done with Geant4, the Monte Carlo toolkit developed at CERN for particle and radiation physics.</w:t>
      </w:r>
    </w:p>
    <w:p>
      <w:pPr>
        <w:spacing w:after="120" w:line="276"/>
      </w:pPr>
      <w:r>
        <w:rPr>
          <w:b/>
          <w:bCs/>
        </w:rPr>
        <w:t xml:space="preserve">Is it a 3D simulation? </w:t>
      </w:r>
      <w:r>
        <w:t xml:space="preserve">Yes. Every gamma photon moves in three dimensions, scatters at three-dimensional angles and is followed through three-dimensional volumes. Only the geometry is simplified: it is rotationally symmetric about the borehole axis (centred tool, horizontal layers, vertical hole). Each part of the model is a real 3D cylinder or ring, so radiation can reach the detector from any direction.</w:t>
      </w:r>
    </w:p>
    <w:p>
      <w:pPr>
        <w:pStyle w:val="Heading1"/>
      </w:pPr>
      <w:r>
        <w:t xml:space="preserve">2. What Geant4 is</w:t>
      </w:r>
    </w:p>
    <w:p>
      <w:pPr>
        <w:spacing w:after="120" w:line="276"/>
      </w:pPr>
      <w:r>
        <w:t xml:space="preserve">Geant4 is a C++ toolkit, not a ready-made program. A user writes a small application that tells Geant4 three things:</w:t>
      </w:r>
    </w:p>
    <w:p>
      <w:pPr>
        <w:pStyle w:val="ListParagraph"/>
        <w:numPr>
          <w:ilvl w:val="0"/>
          <w:numId w:val="2"/>
        </w:numPr>
        <w:spacing w:after="60"/>
      </w:pPr>
      <w:r>
        <w:rPr>
          <w:b/>
          <w:bCs/>
        </w:rPr>
        <w:t xml:space="preserve">Geometry: </w:t>
      </w:r>
      <w:r>
        <w:t xml:space="preserve">which volumes exist and which material fills each one.</w:t>
      </w:r>
    </w:p>
    <w:p>
      <w:pPr>
        <w:pStyle w:val="ListParagraph"/>
        <w:numPr>
          <w:ilvl w:val="0"/>
          <w:numId w:val="2"/>
        </w:numPr>
        <w:spacing w:after="60"/>
      </w:pPr>
      <w:r>
        <w:rPr>
          <w:b/>
          <w:bCs/>
        </w:rPr>
        <w:t xml:space="preserve">Physics: </w:t>
      </w:r>
      <w:r>
        <w:t xml:space="preserve">which particles and interactions to simulate.</w:t>
      </w:r>
    </w:p>
    <w:p>
      <w:pPr>
        <w:pStyle w:val="ListParagraph"/>
        <w:numPr>
          <w:ilvl w:val="0"/>
          <w:numId w:val="2"/>
        </w:numPr>
        <w:spacing w:after="60"/>
      </w:pPr>
      <w:r>
        <w:rPr>
          <w:b/>
          <w:bCs/>
        </w:rPr>
        <w:t xml:space="preserve">Source: </w:t>
      </w:r>
      <w:r>
        <w:t xml:space="preserve">where particles start, with what energy and in which direction.</w:t>
      </w:r>
    </w:p>
    <w:p>
      <w:pPr>
        <w:spacing w:after="120" w:line="276"/>
      </w:pPr>
      <w:r>
        <w:t xml:space="preserve">Geant4 then does the transport. For each photon it samples how far the photon travels before it interacts, using the cross sections of the material it is in. It then chooses the interaction (photoelectric absorption, Compton scattering, Rayleigh scattering or pair production), computes the new energy and direction, and repeats until the photon is absorbed or leaves the model. The application records what it needs along the way, here the energy deposited in the detector crystal.</w:t>
      </w:r>
    </w:p>
    <w:p>
      <w:pPr>
        <w:spacing w:after="120" w:line="276"/>
      </w:pPr>
      <w:r>
        <w:t xml:space="preserve">The PyBorehole application is </w:t>
      </w:r>
      <w:r>
        <w:rPr>
          <w:rFonts w:ascii="Consolas" w:cs="Consolas" w:eastAsia="Consolas" w:hAnsi="Consolas"/>
          <w:sz w:val="19"/>
          <w:szCs w:val="19"/>
        </w:rPr>
        <w:t xml:space="preserve">gamma/gammalog.cc</w:t>
      </w:r>
      <w:r>
        <w:t xml:space="preserve">. It uses the Geant4 standard electromagnetic physics (</w:t>
      </w:r>
      <w:r>
        <w:rPr>
          <w:rFonts w:ascii="Consolas" w:cs="Consolas" w:eastAsia="Consolas" w:hAnsi="Consolas"/>
          <w:sz w:val="19"/>
          <w:szCs w:val="19"/>
        </w:rPr>
        <w:t xml:space="preserve">G4EmStandardPhysics</w:t>
      </w:r>
      <w:r>
        <w:t xml:space="preserve">) with the G4EMLOW cross-section data, which is accurate for the 50 keV – 2.6 MeV range of natural gamma rays.</w:t>
      </w:r>
    </w:p>
    <w:p>
      <w:pPr>
        <w:pStyle w:val="Heading1"/>
      </w:pPr>
      <w:r>
        <w:t xml:space="preserve">3. The detector: what the crystal is</w:t>
      </w:r>
    </w:p>
    <w:p>
      <w:pPr>
        <w:spacing w:after="120" w:line="276"/>
      </w:pPr>
      <w:r>
        <w:t xml:space="preserve">The sensor of a gamma-ray tool is a </w:t>
      </w:r>
      <w:r>
        <w:rPr>
          <w:b/>
          <w:bCs/>
        </w:rPr>
        <w:t xml:space="preserve">scintillation crystal</w:t>
      </w:r>
      <w:r>
        <w:t xml:space="preserve">: a transparent block of sodium iodide doped with a little thallium, written NaI(Tl). It works in four steps:</w:t>
      </w:r>
    </w:p>
    <w:p>
      <w:pPr>
        <w:pStyle w:val="ListParagraph"/>
        <w:numPr>
          <w:ilvl w:val="0"/>
          <w:numId w:val="3"/>
        </w:numPr>
        <w:spacing w:after="60"/>
      </w:pPr>
      <w:r>
        <w:rPr>
          <w:b/>
          <w:bCs/>
        </w:rPr>
        <w:t xml:space="preserve">Interaction. </w:t>
      </w:r>
      <w:r>
        <w:t xml:space="preserve">A gamma ray that enters the crystal gives some or all of its energy to electrons in the crystal, by photoelectric absorption or Compton scattering.</w:t>
      </w:r>
    </w:p>
    <w:p>
      <w:pPr>
        <w:pStyle w:val="ListParagraph"/>
        <w:numPr>
          <w:ilvl w:val="0"/>
          <w:numId w:val="3"/>
        </w:numPr>
        <w:spacing w:after="60"/>
      </w:pPr>
      <w:r>
        <w:rPr>
          <w:b/>
          <w:bCs/>
        </w:rPr>
        <w:t xml:space="preserve">Light. </w:t>
      </w:r>
      <w:r>
        <w:t xml:space="preserve">These electrons excite the crystal, which emits a short flash of blue light, about 38 photons per keV of deposited energy. The amount of light is proportional to the energy deposited.</w:t>
      </w:r>
    </w:p>
    <w:p>
      <w:pPr>
        <w:pStyle w:val="ListParagraph"/>
        <w:numPr>
          <w:ilvl w:val="0"/>
          <w:numId w:val="3"/>
        </w:numPr>
        <w:spacing w:after="60"/>
      </w:pPr>
      <w:r>
        <w:rPr>
          <w:b/>
          <w:bCs/>
        </w:rPr>
        <w:t xml:space="preserve">Electrical pulse. </w:t>
      </w:r>
      <w:r>
        <w:t xml:space="preserve">A photomultiplier tube glued to the end of the crystal turns the flash into an electrical pulse whose height is proportional to the deposited energy.</w:t>
      </w:r>
    </w:p>
    <w:p>
      <w:pPr>
        <w:pStyle w:val="ListParagraph"/>
        <w:numPr>
          <w:ilvl w:val="0"/>
          <w:numId w:val="3"/>
        </w:numPr>
        <w:spacing w:after="60"/>
      </w:pPr>
      <w:r>
        <w:rPr>
          <w:b/>
          <w:bCs/>
        </w:rPr>
        <w:t xml:space="preserve">Counting. </w:t>
      </w:r>
      <w:r>
        <w:t xml:space="preserve">The electronics count the pulses and sort them by height. A gross gamma-ray tool counts all pulses above a threshold (0.1 MeV here). A spectral tool also counts the pulses in energy windows around the characteristic lines: K-40 at 1.46 MeV, Bi-214 at 1.76 MeV (uranium series) and Tl-208 at 2.61 MeV (thorium series).</w:t>
      </w:r>
    </w:p>
    <w:p>
      <w:pPr>
        <w:spacing w:after="120" w:line="276"/>
      </w:pPr>
      <w:r>
        <w:t xml:space="preserve">NaI(Tl) is the standard logging scintillator because it is dense (3.67 g/cm³), contains a heavy element (iodine, Z = 53) that absorbs gamma rays efficiently, gives a lot of light and is inexpensive. Its energy resolution is about 7 % (full width at half maximum) at 662 keV. Denser crystals (BGO, CsI) count more efficiently but resolve energy less well; LaBr₃ resolves energy better but is expensive.</w:t>
      </w:r>
    </w:p>
    <w:p>
      <w:pPr>
        <w:spacing w:after="120" w:line="276"/>
      </w:pPr>
      <w:r>
        <w:t xml:space="preserve">A gamma ray does not always deposit all its energy. Often it Compton-scatters once or twice and escapes, leaving only part of its energy. The spectrum therefore has a sharp full-energy peak at each line and a broad continuum below it, and most counts of a gross gamma-ray tool are in that continuum. Geant4 follows every one of these interactions inside the crystal, so the simulated spectrum has the same shape as a measured one.</w:t>
      </w:r>
    </w:p>
    <w:p>
      <w:pPr>
        <w:spacing w:after="120" w:line="276"/>
      </w:pPr>
      <w:r>
        <w:t xml:space="preserve">The crystal size sets the count rate: a larger crystal intercepts more gamma rays and gives a smoother log for the same logging speed. In a slim borehole the crystal is limited by the hole diameter. The model uses a 38 mm × 102 mm crystal (1.5 × 4 inch), typical of slim water-well and geotechnical probes, inside a 50 mm steel housing. The centre of the crystal is the measuring point: the depth of every log value refers to it.</w:t>
      </w:r>
    </w:p>
    <w:p>
      <w:pPr>
        <w:spacing w:after="0" w:before="120"/>
        <w:jc w:val="center"/>
      </w:pPr>
      <w:r>
        <w:drawing>
          <wp:inline distT="0" distB="0" distL="0" distR="0">
            <wp:extent cx="3810000" cy="3600450"/>
            <wp:effectExtent t="0" r="0" b="0" l="0"/>
            <wp:docPr id="1" name="tool.png" descr="Gamma-ray probe" title="Gamma-ray pro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3600450"/>
                    </a:xfrm>
                    <a:prstGeom prst="rect">
                      <a:avLst/>
                    </a:prstGeom>
                  </pic:spPr>
                </pic:pic>
              </a:graphicData>
            </a:graphic>
          </wp:inline>
        </w:drawing>
      </w:r>
    </w:p>
    <w:p>
      <w:pPr>
        <w:spacing w:after="200" w:before="80"/>
      </w:pPr>
      <w:r>
        <w:rPr>
          <w:i/>
          <w:iCs/>
          <w:color w:val="404040"/>
          <w:sz w:val="18"/>
          <w:szCs w:val="18"/>
        </w:rPr>
        <w:t xml:space="preserve">Figure 1. The gamma-ray probe in the backfilled borehole, to scale. A gamma ray emitted by a decay in the formation Compton-scatters on its way and is absorbed in the NaI(Tl) crystal. The photomultiplier and electronics are not modelled: the housing above the crystal is filled with air.</w:t>
      </w:r>
    </w:p>
    <w:p>
      <w:pPr>
        <w:pStyle w:val="Heading1"/>
      </w:pPr>
      <w:r>
        <w:t xml:space="preserve">4. From Python to Geant4</w:t>
      </w:r>
    </w:p>
    <w:p>
      <w:pPr>
        <w:spacing w:after="120" w:line="276"/>
      </w:pPr>
      <w:r>
        <w:t xml:space="preserve">The simulation is a chain of four steps:</w:t>
      </w:r>
    </w:p>
    <w:p>
      <w:pPr>
        <w:pStyle w:val="ListParagraph"/>
        <w:numPr>
          <w:ilvl w:val="0"/>
          <w:numId w:val="4"/>
        </w:numPr>
        <w:spacing w:after="60"/>
      </w:pPr>
      <w:r>
        <w:rPr>
          <w:rFonts w:ascii="Consolas" w:cs="Consolas" w:eastAsia="Consolas" w:hAnsi="Consolas"/>
          <w:sz w:val="19"/>
          <w:szCs w:val="19"/>
        </w:rPr>
        <w:t xml:space="preserve">run_combined.py</w:t>
      </w:r>
      <w:r>
        <w:t xml:space="preserve">: the user’s settings (layers, K/U/Th of each layer, borehole diameter, backfill materials).</w:t>
      </w:r>
    </w:p>
    <w:p>
      <w:pPr>
        <w:pStyle w:val="ListParagraph"/>
        <w:numPr>
          <w:ilvl w:val="0"/>
          <w:numId w:val="4"/>
        </w:numPr>
        <w:spacing w:after="60"/>
      </w:pPr>
      <w:r>
        <w:rPr>
          <w:rFonts w:ascii="Consolas" w:cs="Consolas" w:eastAsia="Consolas" w:hAnsi="Consolas"/>
          <w:sz w:val="19"/>
          <w:szCs w:val="19"/>
        </w:rPr>
        <w:t xml:space="preserve">geometry_class/gamma_geometry.py</w:t>
      </w:r>
      <w:r>
        <w:t xml:space="preserve">: turns the settings into numbers (material compositions, activities in decays/s/m³, gamma lines) and writes one plain-text input file per process.</w:t>
      </w:r>
    </w:p>
    <w:p>
      <w:pPr>
        <w:pStyle w:val="ListParagraph"/>
        <w:numPr>
          <w:ilvl w:val="0"/>
          <w:numId w:val="4"/>
        </w:numPr>
        <w:spacing w:after="60"/>
      </w:pPr>
      <w:r>
        <w:rPr>
          <w:rFonts w:ascii="Consolas" w:cs="Consolas" w:eastAsia="Consolas" w:hAnsi="Consolas"/>
          <w:sz w:val="19"/>
          <w:szCs w:val="19"/>
        </w:rPr>
        <w:t xml:space="preserve">gammalog.exe</w:t>
      </w:r>
      <w:r>
        <w:t xml:space="preserve">: 24 copies run in parallel, each on a share of the tool stations; each writes a CSV of count rates and spectra.</w:t>
      </w:r>
    </w:p>
    <w:p>
      <w:pPr>
        <w:pStyle w:val="ListParagraph"/>
        <w:numPr>
          <w:ilvl w:val="0"/>
          <w:numId w:val="4"/>
        </w:numPr>
        <w:spacing w:after="60"/>
      </w:pPr>
      <w:r>
        <w:rPr>
          <w:rFonts w:ascii="Consolas" w:cs="Consolas" w:eastAsia="Consolas" w:hAnsi="Consolas"/>
          <w:sz w:val="19"/>
          <w:szCs w:val="19"/>
        </w:rPr>
        <w:t xml:space="preserve">gamma_geometry.py</w:t>
      </w:r>
      <w:r>
        <w:t xml:space="preserve"> again: reads the CSVs and converts them to count rates (counts/s), API units, apparent K, U, Th and their statistical errors.</w:t>
      </w:r>
    </w:p>
    <w:p>
      <w:pPr>
        <w:pStyle w:val="Heading1"/>
      </w:pPr>
      <w:r>
        <w:t xml:space="preserve">5. Inputs</w:t>
      </w:r>
    </w:p>
    <w:p>
      <w:pPr>
        <w:pStyle w:val="Heading2"/>
      </w:pPr>
      <w:r>
        <w:t xml:space="preserve">5.1 Physical inputs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spacing w:after="0"/>
              <w:jc w:val="left"/>
            </w:pPr>
            <w:r>
              <w:rPr>
                <w:b/>
                <w:bCs/>
                <w:color w:val="FFFFFF"/>
                <w:sz w:val="19"/>
                <w:szCs w:val="19"/>
              </w:rPr>
              <w:t xml:space="preserve">Input</w:t>
            </w:r>
          </w:p>
        </w:tc>
        <w:tc>
          <w:tcPr>
            <w:tcW w:type="dxa" w:w="7038"/>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spacing w:after="0"/>
              <w:jc w:val="left"/>
            </w:pPr>
            <w:r>
              <w:rPr>
                <w:b/>
                <w:bCs/>
                <w:color w:val="FFFFFF"/>
                <w:sz w:val="19"/>
                <w:szCs w:val="19"/>
              </w:rPr>
              <w:t xml:space="preserve">Where it comes from</w:t>
            </w:r>
          </w:p>
        </w:tc>
      </w:tr>
      <w:tr>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9"/>
                <w:szCs w:val="19"/>
              </w:rPr>
              <w:t xml:space="preserve">Layer depths</w:t>
            </w:r>
          </w:p>
        </w:tc>
        <w:tc>
          <w:tcPr>
            <w:tcW w:type="dxa" w:w="70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9"/>
                <w:szCs w:val="19"/>
              </w:rPr>
              <w:t xml:space="preserve">Setting </w:t>
            </w:r>
            <w:r>
              <w:rPr>
                <w:rFonts w:ascii="Consolas" w:cs="Consolas" w:eastAsia="Consolas" w:hAnsi="Consolas"/>
                <w:sz w:val="19"/>
                <w:szCs w:val="19"/>
              </w:rPr>
              <w:t xml:space="preserve">LAYERS</w:t>
            </w:r>
            <w:r>
              <w:rPr>
                <w:b w:val="false"/>
                <w:bCs w:val="false"/>
                <w:sz w:val="19"/>
                <w:szCs w:val="19"/>
              </w:rPr>
              <w:t xml:space="preserve"> (the same as for the ERT and EM simulations)</w:t>
            </w:r>
          </w:p>
        </w:tc>
      </w:tr>
      <w:tr>
        <w:tc>
          <w:tcPr>
            <w:tcW w:type="dxa" w:w="26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9"/>
                <w:szCs w:val="19"/>
              </w:rPr>
              <w:t xml:space="preserve">Layer material and K, U, Th</w:t>
            </w:r>
          </w:p>
        </w:tc>
        <w:tc>
          <w:tcPr>
            <w:tcW w:type="dxa" w:w="7038"/>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9"/>
                <w:szCs w:val="19"/>
              </w:rPr>
              <w:t xml:space="preserve">Setting </w:t>
            </w:r>
            <w:r>
              <w:rPr>
                <w:rFonts w:ascii="Consolas" w:cs="Consolas" w:eastAsia="Consolas" w:hAnsi="Consolas"/>
                <w:sz w:val="19"/>
                <w:szCs w:val="19"/>
              </w:rPr>
              <w:t xml:space="preserve">GR_LAYERS</w:t>
            </w:r>
            <w:r>
              <w:rPr>
                <w:b w:val="false"/>
                <w:bCs w:val="false"/>
                <w:sz w:val="19"/>
                <w:szCs w:val="19"/>
              </w:rPr>
              <w:t xml:space="preserve">; concentrations per unit bulk (wet) mass</w:t>
            </w:r>
          </w:p>
        </w:tc>
      </w:tr>
      <w:tr>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9"/>
                <w:szCs w:val="19"/>
              </w:rPr>
              <w:t xml:space="preserve">Borehole diameter and depth</w:t>
            </w:r>
          </w:p>
        </w:tc>
        <w:tc>
          <w:tcPr>
            <w:tcW w:type="dxa" w:w="70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rFonts w:ascii="Consolas" w:cs="Consolas" w:eastAsia="Consolas" w:hAnsi="Consolas"/>
                <w:sz w:val="19"/>
                <w:szCs w:val="19"/>
              </w:rPr>
              <w:t xml:space="preserve">BOREHOLE_DIAM</w:t>
            </w:r>
            <w:r>
              <w:rPr>
                <w:b w:val="false"/>
                <w:bCs w:val="false"/>
                <w:sz w:val="19"/>
                <w:szCs w:val="19"/>
              </w:rPr>
              <w:t xml:space="preserve">, </w:t>
            </w:r>
            <w:r>
              <w:rPr>
                <w:rFonts w:ascii="Consolas" w:cs="Consolas" w:eastAsia="Consolas" w:hAnsi="Consolas"/>
                <w:sz w:val="19"/>
                <w:szCs w:val="19"/>
              </w:rPr>
              <w:t xml:space="preserve">BOREHOLE_LENGTH</w:t>
            </w:r>
          </w:p>
        </w:tc>
      </w:tr>
      <w:tr>
        <w:tc>
          <w:tcPr>
            <w:tcW w:type="dxa" w:w="26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9"/>
                <w:szCs w:val="19"/>
              </w:rPr>
              <w:t xml:space="preserve">Backfill material and K, U, Th</w:t>
            </w:r>
          </w:p>
        </w:tc>
        <w:tc>
          <w:tcPr>
            <w:tcW w:type="dxa" w:w="7038"/>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9"/>
                <w:szCs w:val="19"/>
              </w:rPr>
              <w:t xml:space="preserve">Setting </w:t>
            </w:r>
            <w:r>
              <w:rPr>
                <w:rFonts w:ascii="Consolas" w:cs="Consolas" w:eastAsia="Consolas" w:hAnsi="Consolas"/>
                <w:sz w:val="19"/>
                <w:szCs w:val="19"/>
              </w:rPr>
              <w:t xml:space="preserve">GR_BACKFILL_SWEEP</w:t>
            </w:r>
            <w:r>
              <w:rPr>
                <w:b w:val="false"/>
                <w:bCs w:val="false"/>
                <w:sz w:val="19"/>
                <w:szCs w:val="19"/>
              </w:rPr>
              <w:t xml:space="preserve">; one simulation per backfill</w:t>
            </w:r>
          </w:p>
        </w:tc>
      </w:tr>
      <w:tr>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9"/>
                <w:szCs w:val="19"/>
              </w:rPr>
              <w:t xml:space="preserve">Material compositions</w:t>
            </w:r>
          </w:p>
        </w:tc>
        <w:tc>
          <w:tcPr>
            <w:tcW w:type="dxa" w:w="70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rFonts w:ascii="Consolas" w:cs="Consolas" w:eastAsia="Consolas" w:hAnsi="Consolas"/>
                <w:sz w:val="19"/>
                <w:szCs w:val="19"/>
              </w:rPr>
              <w:t xml:space="preserve">MATERIALS</w:t>
            </w:r>
            <w:r>
              <w:rPr>
                <w:b w:val="false"/>
                <w:bCs w:val="false"/>
                <w:sz w:val="19"/>
                <w:szCs w:val="19"/>
              </w:rPr>
              <w:t xml:space="preserve"> in gamma_geometry.py: minerals (quartz, clay, calcite, cement) mixed with pore water at a given porosity, which gives bulk density and element mass fractions</w:t>
            </w:r>
          </w:p>
        </w:tc>
      </w:tr>
      <w:tr>
        <w:tc>
          <w:tcPr>
            <w:tcW w:type="dxa" w:w="26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9"/>
                <w:szCs w:val="19"/>
              </w:rPr>
              <w:t xml:space="preserve">Activity per concentration</w:t>
            </w:r>
          </w:p>
        </w:tc>
        <w:tc>
          <w:tcPr>
            <w:tcW w:type="dxa" w:w="7038"/>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9"/>
                <w:szCs w:val="19"/>
              </w:rPr>
              <w:t xml:space="preserve">1 % K = 313 Bq/kg K-40; 1 ppm U = 12.35 Bq/kg U-238; 1 ppm Th = 4.06 Bq/kg Th-232 (IAEA-TECDOC-1363)</w:t>
            </w:r>
          </w:p>
        </w:tc>
      </w:tr>
      <w:tr>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9"/>
                <w:szCs w:val="19"/>
              </w:rPr>
              <w:t xml:space="preserve">Gamma lines</w:t>
            </w:r>
          </w:p>
        </w:tc>
        <w:tc>
          <w:tcPr>
            <w:tcW w:type="dxa" w:w="70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9"/>
                <w:szCs w:val="19"/>
              </w:rPr>
              <w:t xml:space="preserve">K-40 (1.461 MeV) and the main lines of the U-238 and Th-232 decay series in secular equilibrium (e.g. Bi-214 at 0.609, 1.120, 1.764 MeV; Tl-208 at 2.614 MeV)</w:t>
            </w:r>
          </w:p>
        </w:tc>
      </w:tr>
      <w:tr>
        <w:tc>
          <w:tcPr>
            <w:tcW w:type="dxa" w:w="26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9"/>
                <w:szCs w:val="19"/>
              </w:rPr>
              <w:t xml:space="preserve">Tool</w:t>
            </w:r>
          </w:p>
        </w:tc>
        <w:tc>
          <w:tcPr>
            <w:tcW w:type="dxa" w:w="7038"/>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9"/>
                <w:szCs w:val="19"/>
              </w:rPr>
              <w:t xml:space="preserve">NaI(Tl) crystal 38 mm × 102 mm in a 50 mm steel housing with 3 mm walls, centred in the hole; resolution 7 % FWHM at 662 keV</w:t>
            </w:r>
          </w:p>
        </w:tc>
      </w:tr>
      <w:tr>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9"/>
                <w:szCs w:val="19"/>
              </w:rPr>
              <w:t xml:space="preserve">Cross sections</w:t>
            </w:r>
          </w:p>
        </w:tc>
        <w:tc>
          <w:tcPr>
            <w:tcW w:type="dxa" w:w="70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9"/>
                <w:szCs w:val="19"/>
              </w:rPr>
              <w:t xml:space="preserve">Geant4 data sets G4EMLOW, G4ENSDFSTATE and PhotonEvaporation</w:t>
            </w:r>
          </w:p>
        </w:tc>
      </w:tr>
    </w:tbl>
    <w:p>
      <w:pPr>
        <w:spacing w:after="200" w:before="80"/>
      </w:pPr>
      <w:r>
        <w:rPr>
          <w:i/>
          <w:iCs/>
          <w:color w:val="404040"/>
          <w:sz w:val="18"/>
          <w:szCs w:val="18"/>
        </w:rPr>
        <w:t xml:space="preserve">Table 1. Physical inputs of the gamma-ray simulation.</w:t>
      </w:r>
    </w:p>
    <w:p>
      <w:pPr>
        <w:pStyle w:val="Heading2"/>
      </w:pPr>
      <w:r>
        <w:t xml:space="preserve">5.2 The input file</w:t>
      </w:r>
    </w:p>
    <w:p>
      <w:pPr>
        <w:spacing w:after="120" w:line="276"/>
      </w:pPr>
      <w:r>
        <w:t xml:space="preserve">The Python wrapper writes a plain-text input file of keywords for each Geant4 process. The user never edits it, but it shows exactly what Geant4 receives: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3300"/>
        <w:gridCol w:w="4838"/>
      </w:tblGrid>
      <w:tr>
        <w:trPr>
          <w:tblHeader/>
        </w:trPr>
        <w:tc>
          <w:tcPr>
            <w:tcW w:type="dxa" w:w="15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spacing w:after="0"/>
              <w:jc w:val="left"/>
            </w:pPr>
            <w:r>
              <w:rPr>
                <w:b/>
                <w:bCs/>
                <w:color w:val="FFFFFF"/>
                <w:sz w:val="17"/>
                <w:szCs w:val="17"/>
              </w:rPr>
              <w:t xml:space="preserve">Keyword</w:t>
            </w:r>
          </w:p>
        </w:tc>
        <w:tc>
          <w:tcPr>
            <w:tcW w:type="dxa" w:w="33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spacing w:after="0"/>
              <w:jc w:val="left"/>
            </w:pPr>
            <w:r>
              <w:rPr>
                <w:b/>
                <w:bCs/>
                <w:color w:val="FFFFFF"/>
                <w:sz w:val="17"/>
                <w:szCs w:val="17"/>
              </w:rPr>
              <w:t xml:space="preserve">Example</w:t>
            </w:r>
          </w:p>
        </w:tc>
        <w:tc>
          <w:tcPr>
            <w:tcW w:type="dxa" w:w="4838"/>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spacing w:after="0"/>
              <w:jc w:val="left"/>
            </w:pPr>
            <w:r>
              <w:rPr>
                <w:b/>
                <w:bCs/>
                <w:color w:val="FFFFFF"/>
                <w:sz w:val="17"/>
                <w:szCs w:val="17"/>
              </w:rPr>
              <w:t xml:space="preserve">Meaning</w:t>
            </w:r>
          </w:p>
        </w:tc>
      </w:tr>
      <w:t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rFonts w:ascii="Consolas" w:cs="Consolas" w:eastAsia="Consolas" w:hAnsi="Consolas"/>
                <w:sz w:val="19"/>
                <w:szCs w:val="19"/>
              </w:rPr>
              <w:t xml:space="preserve">events</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rFonts w:ascii="Consolas" w:cs="Consolas" w:eastAsia="Consolas" w:hAnsi="Consolas"/>
                <w:sz w:val="19"/>
                <w:szCs w:val="19"/>
              </w:rPr>
              <w:t xml:space="preserve">150000</w:t>
            </w:r>
          </w:p>
        </w:tc>
        <w:tc>
          <w:tcPr>
            <w:tcW w:type="dxa" w:w="4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7"/>
                <w:szCs w:val="17"/>
              </w:rPr>
              <w:t xml:space="preserve">Photons simulated per station and nuclide group</w:t>
            </w:r>
          </w:p>
        </w:tc>
      </w:tr>
      <w:tr>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rFonts w:ascii="Consolas" w:cs="Consolas" w:eastAsia="Consolas" w:hAnsi="Consolas"/>
                <w:sz w:val="19"/>
                <w:szCs w:val="19"/>
              </w:rPr>
              <w:t xml:space="preserve">source</w:t>
            </w:r>
          </w:p>
        </w:tc>
        <w:tc>
          <w:tcPr>
            <w:tcW w:type="dxa" w:w="33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rFonts w:ascii="Consolas" w:cs="Consolas" w:eastAsia="Consolas" w:hAnsi="Consolas"/>
                <w:sz w:val="19"/>
                <w:szCs w:val="19"/>
              </w:rPr>
              <w:t xml:space="preserve">1.0 0.15 0.5</w:t>
            </w:r>
          </w:p>
        </w:tc>
        <w:tc>
          <w:tcPr>
            <w:tcW w:type="dxa" w:w="4838"/>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7"/>
                <w:szCs w:val="17"/>
              </w:rPr>
              <w:t xml:space="preserve">Source sphere radius (m), importance-sampling length (m), extra transport margin (m)</w:t>
            </w:r>
          </w:p>
        </w:tc>
      </w:tr>
      <w:t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rFonts w:ascii="Consolas" w:cs="Consolas" w:eastAsia="Consolas" w:hAnsi="Consolas"/>
                <w:sz w:val="19"/>
                <w:szCs w:val="19"/>
              </w:rPr>
              <w:t xml:space="preserve">resolution</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rFonts w:ascii="Consolas" w:cs="Consolas" w:eastAsia="Consolas" w:hAnsi="Consolas"/>
                <w:sz w:val="19"/>
                <w:szCs w:val="19"/>
              </w:rPr>
              <w:t xml:space="preserve">0.07</w:t>
            </w:r>
          </w:p>
        </w:tc>
        <w:tc>
          <w:tcPr>
            <w:tcW w:type="dxa" w:w="4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7"/>
                <w:szCs w:val="17"/>
              </w:rPr>
              <w:t xml:space="preserve">NaI resolution, FWHM/E at 662 keV</w:t>
            </w:r>
          </w:p>
        </w:tc>
      </w:tr>
      <w:tr>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rFonts w:ascii="Consolas" w:cs="Consolas" w:eastAsia="Consolas" w:hAnsi="Consolas"/>
                <w:sz w:val="19"/>
                <w:szCs w:val="19"/>
              </w:rPr>
              <w:t xml:space="preserve">spectrum</w:t>
            </w:r>
          </w:p>
        </w:tc>
        <w:tc>
          <w:tcPr>
            <w:tcW w:type="dxa" w:w="33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rFonts w:ascii="Consolas" w:cs="Consolas" w:eastAsia="Consolas" w:hAnsi="Consolas"/>
                <w:sz w:val="19"/>
                <w:szCs w:val="19"/>
              </w:rPr>
              <w:t xml:space="preserve">300 3.0 0.1</w:t>
            </w:r>
          </w:p>
        </w:tc>
        <w:tc>
          <w:tcPr>
            <w:tcW w:type="dxa" w:w="4838"/>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7"/>
                <w:szCs w:val="17"/>
              </w:rPr>
              <w:t xml:space="preserve">Spectrum bins, maximum energy (MeV), gross-count threshold (MeV)</w:t>
            </w:r>
          </w:p>
        </w:tc>
      </w:tr>
      <w:t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rFonts w:ascii="Consolas" w:cs="Consolas" w:eastAsia="Consolas" w:hAnsi="Consolas"/>
                <w:sz w:val="19"/>
                <w:szCs w:val="19"/>
              </w:rPr>
              <w:t xml:space="preserve">material</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rFonts w:ascii="Consolas" w:cs="Consolas" w:eastAsia="Consolas" w:hAnsi="Consolas"/>
                <w:sz w:val="19"/>
                <w:szCs w:val="19"/>
              </w:rPr>
              <w:t xml:space="preserve">3 mix 2.159 4 14 0.42 8 0.53 ...</w:t>
            </w:r>
          </w:p>
        </w:tc>
        <w:tc>
          <w:tcPr>
            <w:tcW w:type="dxa" w:w="4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7"/>
                <w:szCs w:val="17"/>
              </w:rPr>
              <w:t xml:space="preserve">Material id, bulk density (g/cm³), then (atomic number, mass fraction) pairs; or a Geant4 NIST material</w:t>
            </w:r>
          </w:p>
        </w:tc>
      </w:tr>
      <w:tr>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rFonts w:ascii="Consolas" w:cs="Consolas" w:eastAsia="Consolas" w:hAnsi="Consolas"/>
                <w:sz w:val="19"/>
                <w:szCs w:val="19"/>
              </w:rPr>
              <w:t xml:space="preserve">group</w:t>
            </w:r>
          </w:p>
        </w:tc>
        <w:tc>
          <w:tcPr>
            <w:tcW w:type="dxa" w:w="33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rFonts w:ascii="Consolas" w:cs="Consolas" w:eastAsia="Consolas" w:hAnsi="Consolas"/>
                <w:sz w:val="19"/>
                <w:szCs w:val="19"/>
              </w:rPr>
              <w:t xml:space="preserve">K 1 1.4608 0.1066</w:t>
            </w:r>
          </w:p>
        </w:tc>
        <w:tc>
          <w:tcPr>
            <w:tcW w:type="dxa" w:w="4838"/>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7"/>
                <w:szCs w:val="17"/>
              </w:rPr>
              <w:t xml:space="preserve">Nuclide group: number of lines, then (energy MeV, photons per decay) pairs</w:t>
            </w:r>
          </w:p>
        </w:tc>
      </w:tr>
      <w:t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rFonts w:ascii="Consolas" w:cs="Consolas" w:eastAsia="Consolas" w:hAnsi="Consolas"/>
                <w:sz w:val="19"/>
                <w:szCs w:val="19"/>
              </w:rPr>
              <w:t xml:space="preserve">window</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rFonts w:ascii="Consolas" w:cs="Consolas" w:eastAsia="Consolas" w:hAnsi="Consolas"/>
                <w:sz w:val="19"/>
                <w:szCs w:val="19"/>
              </w:rPr>
              <w:t xml:space="preserve">K_win 1.37 1.57</w:t>
            </w:r>
          </w:p>
        </w:tc>
        <w:tc>
          <w:tcPr>
            <w:tcW w:type="dxa" w:w="4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7"/>
                <w:szCs w:val="17"/>
              </w:rPr>
              <w:t xml:space="preserve">Spectral window (MeV)</w:t>
            </w:r>
          </w:p>
        </w:tc>
      </w:tr>
      <w:tr>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rFonts w:ascii="Consolas" w:cs="Consolas" w:eastAsia="Consolas" w:hAnsi="Consolas"/>
                <w:sz w:val="19"/>
                <w:szCs w:val="19"/>
              </w:rPr>
              <w:t xml:space="preserve">layer</w:t>
            </w:r>
          </w:p>
        </w:tc>
        <w:tc>
          <w:tcPr>
            <w:tcW w:type="dxa" w:w="33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rFonts w:ascii="Consolas" w:cs="Consolas" w:eastAsia="Consolas" w:hAnsi="Consolas"/>
                <w:sz w:val="19"/>
                <w:szCs w:val="19"/>
              </w:rPr>
              <w:t xml:space="preserve">0 5 3 7.2e5 2.7e4 8.8e3</w:t>
            </w:r>
          </w:p>
        </w:tc>
        <w:tc>
          <w:tcPr>
            <w:tcW w:type="dxa" w:w="4838"/>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7"/>
                <w:szCs w:val="17"/>
              </w:rPr>
              <w:t xml:space="preserve">Top and bottom depth (m), material id, activity of K, U, Th (decays/s/m³)</w:t>
            </w:r>
          </w:p>
        </w:tc>
      </w:tr>
      <w:t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rFonts w:ascii="Consolas" w:cs="Consolas" w:eastAsia="Consolas" w:hAnsi="Consolas"/>
                <w:sz w:val="19"/>
                <w:szCs w:val="19"/>
              </w:rPr>
              <w:t xml:space="preserve">zone</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rFonts w:ascii="Consolas" w:cs="Consolas" w:eastAsia="Consolas" w:hAnsi="Consolas"/>
                <w:sz w:val="19"/>
                <w:szCs w:val="19"/>
              </w:rPr>
              <w:t xml:space="preserve">0.10 4 4.5e5 1.8e4 4.6e3</w:t>
            </w:r>
          </w:p>
        </w:tc>
        <w:tc>
          <w:tcPr>
            <w:tcW w:type="dxa" w:w="4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7"/>
                <w:szCs w:val="17"/>
              </w:rPr>
              <w:t xml:space="preserve">Borehole fill: outer radius (m), material id, activities</w:t>
            </w:r>
          </w:p>
        </w:tc>
      </w:tr>
      <w:tr>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rFonts w:ascii="Consolas" w:cs="Consolas" w:eastAsia="Consolas" w:hAnsi="Consolas"/>
                <w:sz w:val="19"/>
                <w:szCs w:val="19"/>
              </w:rPr>
              <w:t xml:space="preserve">hole</w:t>
            </w:r>
          </w:p>
        </w:tc>
        <w:tc>
          <w:tcPr>
            <w:tcW w:type="dxa" w:w="33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rFonts w:ascii="Consolas" w:cs="Consolas" w:eastAsia="Consolas" w:hAnsi="Consolas"/>
                <w:sz w:val="19"/>
                <w:szCs w:val="19"/>
              </w:rPr>
              <w:t xml:space="preserve">15</w:t>
            </w:r>
          </w:p>
        </w:tc>
        <w:tc>
          <w:tcPr>
            <w:tcW w:type="dxa" w:w="4838"/>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7"/>
                <w:szCs w:val="17"/>
              </w:rPr>
              <w:t xml:space="preserve">Borehole depth (m)</w:t>
            </w:r>
          </w:p>
        </w:tc>
      </w:tr>
      <w:t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rFonts w:ascii="Consolas" w:cs="Consolas" w:eastAsia="Consolas" w:hAnsi="Consolas"/>
                <w:sz w:val="19"/>
                <w:szCs w:val="19"/>
              </w:rPr>
              <w:t xml:space="preserve">tool</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rFonts w:ascii="Consolas" w:cs="Consolas" w:eastAsia="Consolas" w:hAnsi="Consolas"/>
                <w:sz w:val="19"/>
                <w:szCs w:val="19"/>
              </w:rPr>
              <w:t xml:space="preserve">0.019 0.102 0.022 0.025 ...</w:t>
            </w:r>
          </w:p>
        </w:tc>
        <w:tc>
          <w:tcPr>
            <w:tcW w:type="dxa" w:w="4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7"/>
                <w:szCs w:val="17"/>
              </w:rPr>
              <w:t xml:space="preserve">Crystal radius and length, housing inner and outer radius, housing extent below and above the crystal centre, materials</w:t>
            </w:r>
          </w:p>
        </w:tc>
      </w:tr>
      <w:tr>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rFonts w:ascii="Consolas" w:cs="Consolas" w:eastAsia="Consolas" w:hAnsi="Consolas"/>
                <w:sz w:val="19"/>
                <w:szCs w:val="19"/>
              </w:rPr>
              <w:t xml:space="preserve">stations</w:t>
            </w:r>
          </w:p>
        </w:tc>
        <w:tc>
          <w:tcPr>
            <w:tcW w:type="dxa" w:w="33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rFonts w:ascii="Consolas" w:cs="Consolas" w:eastAsia="Consolas" w:hAnsi="Consolas"/>
                <w:sz w:val="19"/>
                <w:szCs w:val="19"/>
              </w:rPr>
              <w:t xml:space="preserve">0.5 0.6 0.7 ...</w:t>
            </w:r>
          </w:p>
        </w:tc>
        <w:tc>
          <w:tcPr>
            <w:tcW w:type="dxa" w:w="4838"/>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7"/>
                <w:szCs w:val="17"/>
              </w:rPr>
              <w:t xml:space="preserve">Depths of the crystal centre (m)</w:t>
            </w:r>
          </w:p>
        </w:tc>
      </w:tr>
    </w:tbl>
    <w:p>
      <w:pPr>
        <w:spacing w:after="200" w:before="80"/>
      </w:pPr>
      <w:r>
        <w:rPr>
          <w:i/>
          <w:iCs/>
          <w:color w:val="404040"/>
          <w:sz w:val="18"/>
          <w:szCs w:val="18"/>
        </w:rPr>
        <w:t xml:space="preserve">Table 2. Keywords of the gammalog input file.</w:t>
      </w:r>
    </w:p>
    <w:p>
      <w:pPr>
        <w:pStyle w:val="Heading1"/>
      </w:pPr>
      <w:r>
        <w:t xml:space="preserve">6. How the geometry is defined</w:t>
      </w:r>
    </w:p>
    <w:p>
      <w:pPr>
        <w:spacing w:after="120" w:line="276"/>
      </w:pPr>
      <w:r>
        <w:t xml:space="preserve">For every tool station the program rebuilds the model around the crystal (function Detector::Construct in gammalog.cc). The local origin is the crystal centre, with z pointing up. The construction has four steps:</w:t>
      </w:r>
    </w:p>
    <w:p>
      <w:pPr>
        <w:pStyle w:val="ListParagraph"/>
        <w:numPr>
          <w:ilvl w:val="0"/>
          <w:numId w:val="5"/>
        </w:numPr>
        <w:spacing w:after="60"/>
      </w:pPr>
      <w:r>
        <w:t xml:space="preserve">Collect all radial boundaries: crystal radius, housing inner and outer radius, the outer radius of each borehole fill zone, and the outer edge of the model.</w:t>
      </w:r>
    </w:p>
    <w:p>
      <w:pPr>
        <w:pStyle w:val="ListParagraph"/>
        <w:numPr>
          <w:ilvl w:val="0"/>
          <w:numId w:val="5"/>
        </w:numPr>
        <w:spacing w:after="60"/>
      </w:pPr>
      <w:r>
        <w:t xml:space="preserve">Collect all depth boundaries: layer tops and bottoms, the borehole bottom, the ground surface, and the ends of the crystal and of the housing.</w:t>
      </w:r>
    </w:p>
    <w:p>
      <w:pPr>
        <w:pStyle w:val="ListParagraph"/>
        <w:numPr>
          <w:ilvl w:val="0"/>
          <w:numId w:val="5"/>
        </w:numPr>
        <w:spacing w:after="60"/>
      </w:pPr>
      <w:r>
        <w:t xml:space="preserve">These boundaries cut space into a grid of rings. Each ring is a G4Tubs, a hollow 3D cylinder over the full 360°.</w:t>
      </w:r>
    </w:p>
    <w:p>
      <w:pPr>
        <w:pStyle w:val="ListParagraph"/>
        <w:numPr>
          <w:ilvl w:val="0"/>
          <w:numId w:val="5"/>
        </w:numPr>
        <w:spacing w:after="60"/>
      </w:pPr>
      <w:r>
        <w:t xml:space="preserve">The material of each ring is looked up at its midpoint (function RegionAt): crystal, then housing, then air above ground, then borehole fill if inside the hole, otherwise the layer at that depth.</w:t>
      </w:r>
    </w:p>
    <w:p>
      <w:pPr>
        <w:spacing w:after="120" w:line="276"/>
      </w:pPr>
      <w:r>
        <w:rPr>
          <w:b/>
          <w:bCs/>
        </w:rPr>
        <w:t xml:space="preserve">There is no casing in the example. </w:t>
      </w:r>
      <w:r>
        <w:t xml:space="preserve">The borehole is open hole filled with backfill, out to the borehole wall at r = 10 cm. The only steel in the model is the 3 mm wall of the logging probe itself (Figure 2, grey). It is part of the tool, is the same with and without the borehole, and is included in the calibration, so it does not bias the borehole effect. A casing can be added as an extra fill zone (</w:t>
      </w:r>
      <w:r>
        <w:rPr>
          <w:rFonts w:ascii="Consolas" w:cs="Consolas" w:eastAsia="Consolas" w:hAnsi="Consolas"/>
          <w:sz w:val="19"/>
          <w:szCs w:val="19"/>
        </w:rPr>
        <w:t xml:space="preserve">zones</w:t>
      </w:r>
      <w:r>
        <w:t xml:space="preserve"> parameter), e.g. a PVC or steel pipe of given radius and thickness.</w:t>
      </w:r>
    </w:p>
    <w:p>
      <w:pPr>
        <w:spacing w:after="120" w:line="276"/>
      </w:pPr>
      <w:r>
        <w:t xml:space="preserve">This gives about 50 to 100 solid 3D volumes per station. The model extends 1.5 m around the crystal. Photons emitted further away essentially never reach the detector (more than ten attenuation lengths of rock), and photons that leave the model are lost. Rebuilding the model at every station is simple and exact: as the tool moves, layer boundaries cross the housing and crystal at different heights.</w:t>
      </w:r>
    </w:p>
    <w:p>
      <w:pPr>
        <w:spacing w:after="0" w:before="120"/>
        <w:jc w:val="center"/>
      </w:pPr>
      <w:r>
        <w:drawing>
          <wp:inline distT="0" distB="0" distL="0" distR="0">
            <wp:extent cx="5143500" cy="4572000"/>
            <wp:effectExtent t="0" r="0" b="0" l="0"/>
            <wp:docPr id="2" name="geometry" descr="Vertical slice through the borehole axis showing the rings of the Geant4 model" title="Geant4 cell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4572000"/>
                    </a:xfrm>
                    <a:prstGeom prst="rect">
                      <a:avLst/>
                    </a:prstGeom>
                  </pic:spPr>
                </pic:pic>
              </a:graphicData>
            </a:graphic>
          </wp:inline>
        </w:drawing>
      </w:r>
    </w:p>
    <w:p>
      <w:pPr>
        <w:spacing w:after="200" w:before="80"/>
      </w:pPr>
      <w:r>
        <w:rPr>
          <w:i/>
          <w:iCs/>
          <w:color w:val="404040"/>
          <w:sz w:val="18"/>
          <w:szCs w:val="18"/>
        </w:rPr>
        <w:t xml:space="preserve">Figure 2. Vertical slice through the borehole axis at one station, with the crystal just above a sand/clay boundary. Every rectangle is one 3D ring after rotation about the axis. The grey ring is the steel housing of the probe; the hole itself has no casing. The radial axis is compressed to show the thin housing.</w:t>
      </w:r>
    </w:p>
    <w:p>
      <w:pPr>
        <w:pStyle w:val="Heading2"/>
      </w:pPr>
      <w:r>
        <w:t xml:space="preserve">Radii</w:t>
      </w:r>
    </w:p>
    <w:p>
      <w:pPr>
        <w:spacing w:after="120" w:line="276"/>
      </w:pPr>
      <w:r>
        <w:t xml:space="preserve">In the model, a radius is always a horizontal distance from the borehole axis, except the source radius, which is measured in every direction from the crystal centre. Table 3 lists all radii; Figure 3 shows them in a horizontal section through the crystal.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1700"/>
        <w:gridCol w:w="4538"/>
      </w:tblGrid>
      <w:tr>
        <w:trPr>
          <w:tblHeader/>
        </w:trPr>
        <w:tc>
          <w:tcPr>
            <w:tcW w:type="dxa" w:w="34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spacing w:after="0"/>
              <w:jc w:val="left"/>
            </w:pPr>
            <w:r>
              <w:rPr>
                <w:b/>
                <w:bCs/>
                <w:color w:val="FFFFFF"/>
                <w:sz w:val="19"/>
                <w:szCs w:val="19"/>
              </w:rPr>
              <w:t xml:space="preserve">Radius</w:t>
            </w:r>
          </w:p>
        </w:tc>
        <w:tc>
          <w:tcPr>
            <w:tcW w:type="dxa" w:w="17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spacing w:after="0"/>
              <w:jc w:val="left"/>
            </w:pPr>
            <w:r>
              <w:rPr>
                <w:b/>
                <w:bCs/>
                <w:color w:val="FFFFFF"/>
                <w:sz w:val="19"/>
                <w:szCs w:val="19"/>
              </w:rPr>
              <w:t xml:space="preserve">Value</w:t>
            </w:r>
          </w:p>
        </w:tc>
        <w:tc>
          <w:tcPr>
            <w:tcW w:type="dxa" w:w="4538"/>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spacing w:after="0"/>
              <w:jc w:val="left"/>
            </w:pPr>
            <w:r>
              <w:rPr>
                <w:b/>
                <w:bCs/>
                <w:color w:val="FFFFFF"/>
                <w:sz w:val="19"/>
                <w:szCs w:val="19"/>
              </w:rPr>
              <w:t xml:space="preserve">Meaning</w:t>
            </w:r>
          </w:p>
        </w:tc>
      </w:tr>
      <w:tr>
        <w:tc>
          <w:tcPr>
            <w:tcW w:type="dxa" w:w="3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9"/>
                <w:szCs w:val="19"/>
              </w:rPr>
              <w:t xml:space="preserve">Crystal radius</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9"/>
                <w:szCs w:val="19"/>
              </w:rPr>
              <w:t xml:space="preserve">1.9 cm</w:t>
            </w:r>
          </w:p>
        </w:tc>
        <w:tc>
          <w:tcPr>
            <w:tcW w:type="dxa" w:w="45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9"/>
                <w:szCs w:val="19"/>
              </w:rPr>
              <w:t xml:space="preserve">Half the crystal diameter (38 mm); setting </w:t>
            </w:r>
            <w:r>
              <w:rPr>
                <w:rFonts w:ascii="Consolas" w:cs="Consolas" w:eastAsia="Consolas" w:hAnsi="Consolas"/>
                <w:sz w:val="19"/>
                <w:szCs w:val="19"/>
              </w:rPr>
              <w:t xml:space="preserve">crystal_diameter</w:t>
            </w:r>
          </w:p>
        </w:tc>
      </w:tr>
      <w:tr>
        <w:tc>
          <w:tcPr>
            <w:tcW w:type="dxa" w:w="34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9"/>
                <w:szCs w:val="19"/>
              </w:rPr>
              <w:t xml:space="preserve">Housing inner / outer radius</w:t>
            </w:r>
          </w:p>
        </w:tc>
        <w:tc>
          <w:tcPr>
            <w:tcW w:type="dxa" w:w="17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9"/>
                <w:szCs w:val="19"/>
              </w:rPr>
              <w:t xml:space="preserve">2.2 / 2.5 cm</w:t>
            </w:r>
          </w:p>
        </w:tc>
        <w:tc>
          <w:tcPr>
            <w:tcW w:type="dxa" w:w="4538"/>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9"/>
                <w:szCs w:val="19"/>
              </w:rPr>
              <w:t xml:space="preserve">Steel wall of the probe (50 mm, 3 mm wall); </w:t>
            </w:r>
            <w:r>
              <w:rPr>
                <w:rFonts w:ascii="Consolas" w:cs="Consolas" w:eastAsia="Consolas" w:hAnsi="Consolas"/>
                <w:sz w:val="19"/>
                <w:szCs w:val="19"/>
              </w:rPr>
              <w:t xml:space="preserve">tool_diameter</w:t>
            </w:r>
            <w:r>
              <w:rPr>
                <w:b w:val="false"/>
                <w:bCs w:val="false"/>
                <w:sz w:val="19"/>
                <w:szCs w:val="19"/>
              </w:rPr>
              <w:t xml:space="preserve">, </w:t>
            </w:r>
            <w:r>
              <w:rPr>
                <w:rFonts w:ascii="Consolas" w:cs="Consolas" w:eastAsia="Consolas" w:hAnsi="Consolas"/>
                <w:sz w:val="19"/>
                <w:szCs w:val="19"/>
              </w:rPr>
              <w:t xml:space="preserve">housing_thickness</w:t>
            </w:r>
          </w:p>
        </w:tc>
      </w:tr>
      <w:tr>
        <w:tc>
          <w:tcPr>
            <w:tcW w:type="dxa" w:w="3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9"/>
                <w:szCs w:val="19"/>
              </w:rPr>
              <w:t xml:space="preserve">Borehole radius</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9"/>
                <w:szCs w:val="19"/>
              </w:rPr>
              <w:t xml:space="preserve">10 cm</w:t>
            </w:r>
          </w:p>
        </w:tc>
        <w:tc>
          <w:tcPr>
            <w:tcW w:type="dxa" w:w="45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9"/>
                <w:szCs w:val="19"/>
              </w:rPr>
              <w:t xml:space="preserve">Half of </w:t>
            </w:r>
            <w:r>
              <w:rPr>
                <w:rFonts w:ascii="Consolas" w:cs="Consolas" w:eastAsia="Consolas" w:hAnsi="Consolas"/>
                <w:sz w:val="19"/>
                <w:szCs w:val="19"/>
              </w:rPr>
              <w:t xml:space="preserve">BOREHOLE_DIAM</w:t>
            </w:r>
            <w:r>
              <w:rPr>
                <w:b w:val="false"/>
                <w:bCs w:val="false"/>
                <w:sz w:val="19"/>
                <w:szCs w:val="19"/>
              </w:rPr>
              <w:t xml:space="preserve"> (0.20 m). Between 2.5 and 10 cm: backfill. Beyond: formation</w:t>
            </w:r>
          </w:p>
        </w:tc>
      </w:tr>
      <w:tr>
        <w:tc>
          <w:tcPr>
            <w:tcW w:type="dxa" w:w="34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9"/>
                <w:szCs w:val="19"/>
              </w:rPr>
              <w:t xml:space="preserve">50 % of the signal</w:t>
            </w:r>
          </w:p>
        </w:tc>
        <w:tc>
          <w:tcPr>
            <w:tcW w:type="dxa" w:w="17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9"/>
                <w:szCs w:val="19"/>
              </w:rPr>
              <w:t xml:space="preserve">11 cm (18 cm)</w:t>
            </w:r>
          </w:p>
        </w:tc>
        <w:tc>
          <w:tcPr>
            <w:tcW w:type="dxa" w:w="4538"/>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9"/>
                <w:szCs w:val="19"/>
              </w:rPr>
              <w:t xml:space="preserve">Half of the counts come from inside this radius; no borehole (water-filled hole). See section 9</w:t>
            </w:r>
          </w:p>
        </w:tc>
      </w:tr>
      <w:tr>
        <w:tc>
          <w:tcPr>
            <w:tcW w:type="dxa" w:w="3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9"/>
                <w:szCs w:val="19"/>
              </w:rPr>
              <w:t xml:space="preserve">90 % of the signal</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9"/>
                <w:szCs w:val="19"/>
              </w:rPr>
              <w:t xml:space="preserve">29 cm (35 cm)</w:t>
            </w:r>
          </w:p>
        </w:tc>
        <w:tc>
          <w:tcPr>
            <w:tcW w:type="dxa" w:w="45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9"/>
                <w:szCs w:val="19"/>
              </w:rPr>
              <w:t xml:space="preserve">Radius of investigation of the tool; no borehole (water-filled hole)</w:t>
            </w:r>
          </w:p>
        </w:tc>
      </w:tr>
      <w:tr>
        <w:tc>
          <w:tcPr>
            <w:tcW w:type="dxa" w:w="34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9"/>
                <w:szCs w:val="19"/>
              </w:rPr>
              <w:t xml:space="preserve">Source radius</w:t>
            </w:r>
          </w:p>
        </w:tc>
        <w:tc>
          <w:tcPr>
            <w:tcW w:type="dxa" w:w="17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9"/>
                <w:szCs w:val="19"/>
              </w:rPr>
              <w:t xml:space="preserve">1.0 m</w:t>
            </w:r>
          </w:p>
        </w:tc>
        <w:tc>
          <w:tcPr>
            <w:tcW w:type="dxa" w:w="4538"/>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9"/>
                <w:szCs w:val="19"/>
              </w:rPr>
              <w:t xml:space="preserve">Gamma rays are emitted within this distance of the crystal centre; </w:t>
            </w:r>
            <w:r>
              <w:rPr>
                <w:rFonts w:ascii="Consolas" w:cs="Consolas" w:eastAsia="Consolas" w:hAnsi="Consolas"/>
                <w:sz w:val="19"/>
                <w:szCs w:val="19"/>
              </w:rPr>
              <w:t xml:space="preserve">source_radius</w:t>
            </w:r>
          </w:p>
        </w:tc>
      </w:tr>
      <w:tr>
        <w:tc>
          <w:tcPr>
            <w:tcW w:type="dxa" w:w="3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9"/>
                <w:szCs w:val="19"/>
              </w:rPr>
              <w:t xml:space="preserve">Model edge</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9"/>
                <w:szCs w:val="19"/>
              </w:rPr>
              <w:t xml:space="preserve">1.5 m</w:t>
            </w:r>
          </w:p>
        </w:tc>
        <w:tc>
          <w:tcPr>
            <w:tcW w:type="dxa" w:w="45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9"/>
                <w:szCs w:val="19"/>
              </w:rPr>
              <w:t xml:space="preserve">Outer radius (and half height) of the model; photons that leave it are lost</w:t>
            </w:r>
          </w:p>
        </w:tc>
      </w:tr>
    </w:tbl>
    <w:p>
      <w:pPr>
        <w:spacing w:after="200" w:before="80"/>
      </w:pPr>
      <w:r>
        <w:rPr>
          <w:i/>
          <w:iCs/>
          <w:color w:val="404040"/>
          <w:sz w:val="18"/>
          <w:szCs w:val="18"/>
        </w:rPr>
        <w:t xml:space="preserve">Table 3. Radii in the model.</w:t>
      </w:r>
    </w:p>
    <w:p>
      <w:pPr>
        <w:spacing w:after="0" w:before="120"/>
        <w:jc w:val="center"/>
      </w:pPr>
      <w:r>
        <w:drawing>
          <wp:inline distT="0" distB="0" distL="0" distR="0">
            <wp:extent cx="5905500" cy="2714625"/>
            <wp:effectExtent t="0" r="0" b="0" l="0"/>
            <wp:docPr id="3" name="radii.png" descr="Radii in the model" title="Radii in the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714625"/>
                    </a:xfrm>
                    <a:prstGeom prst="rect">
                      <a:avLst/>
                    </a:prstGeom>
                  </pic:spPr>
                </pic:pic>
              </a:graphicData>
            </a:graphic>
          </wp:inline>
        </w:drawing>
      </w:r>
    </w:p>
    <w:p>
      <w:pPr>
        <w:spacing w:after="200" w:before="80"/>
      </w:pPr>
      <w:r>
        <w:rPr>
          <w:i/>
          <w:iCs/>
          <w:color w:val="404040"/>
          <w:sz w:val="18"/>
          <w:szCs w:val="18"/>
        </w:rPr>
        <w:t xml:space="preserve">Figure 3. Horizontal section through the crystal centre. (a) The probe in the backfilled hole. (b) The whole model: 90 % of the counts come from within about 30 cm of the axis, gamma rays are emitted out to 1 m, and the model ends at 1.5 m.</w:t>
      </w:r>
    </w:p>
    <w:p>
      <w:pPr>
        <w:pStyle w:val="Heading1"/>
      </w:pPr>
      <w:r>
        <w:t xml:space="preserve">7. What happens to each photon</w:t>
      </w:r>
    </w:p>
    <w:p>
      <w:pPr>
        <w:spacing w:after="120" w:line="276"/>
      </w:pPr>
      <w:r>
        <w:t xml:space="preserve">At each station the program runs separately for the K, U and Th groups:</w:t>
      </w:r>
    </w:p>
    <w:p>
      <w:pPr>
        <w:pStyle w:val="ListParagraph"/>
        <w:numPr>
          <w:ilvl w:val="0"/>
          <w:numId w:val="6"/>
        </w:numPr>
        <w:spacing w:after="60"/>
      </w:pPr>
      <w:r>
        <w:rPr>
          <w:b/>
          <w:bCs/>
        </w:rPr>
        <w:t xml:space="preserve">Source. </w:t>
      </w:r>
      <w:r>
        <w:t xml:space="preserve">An emission point is chosen within 1 m of the crystal; its activity comes from the material there (zero inside the tool and in air). A gamma line of the group is picked according to its yield, and a random 3D direction.</w:t>
      </w:r>
    </w:p>
    <w:p>
      <w:pPr>
        <w:pStyle w:val="ListParagraph"/>
        <w:numPr>
          <w:ilvl w:val="0"/>
          <w:numId w:val="6"/>
        </w:numPr>
        <w:spacing w:after="60"/>
      </w:pPr>
      <w:r>
        <w:rPr>
          <w:b/>
          <w:bCs/>
        </w:rPr>
        <w:t xml:space="preserve">Transport. </w:t>
      </w:r>
      <w:r>
        <w:t xml:space="preserve">Geant4 moves the photon through the 3D volumes and lets it interact. Each Compton scatter changes its direction in 3D and lowers its energy.</w:t>
      </w:r>
    </w:p>
    <w:p>
      <w:pPr>
        <w:pStyle w:val="ListParagraph"/>
        <w:numPr>
          <w:ilvl w:val="0"/>
          <w:numId w:val="6"/>
        </w:numPr>
        <w:spacing w:after="60"/>
      </w:pPr>
      <w:r>
        <w:rPr>
          <w:b/>
          <w:bCs/>
        </w:rPr>
        <w:t xml:space="preserve">Detection. </w:t>
      </w:r>
      <w:r>
        <w:t xml:space="preserve">Every step inside the NaI crystal adds its deposited energy to the event total. At the end of the event the total is blurred by the detector resolution and becomes one pulse in the spectrum. Pulses above 0.1 MeV count in the gross count; pulses between 1.37 and 1.57 MeV also count in the K window, and so on.</w:t>
      </w:r>
    </w:p>
    <w:p>
      <w:pPr>
        <w:pStyle w:val="ListParagraph"/>
        <w:numPr>
          <w:ilvl w:val="0"/>
          <w:numId w:val="6"/>
        </w:numPr>
        <w:spacing w:after="60"/>
      </w:pPr>
      <w:r>
        <w:rPr>
          <w:b/>
          <w:bCs/>
        </w:rPr>
        <w:t xml:space="preserve">Variance reduction. </w:t>
      </w:r>
      <w:r>
        <w:t xml:space="preserve">Emission points near the crystal are sampled more often and given smaller weights; photons that move towards the crystal are split into copies, and photons that move away play Russian roulette. Electrons created outside the crystal are not followed, because they deposit their energy locally. These techniques make the run much faster without changing the expected result.</w:t>
      </w:r>
    </w:p>
    <w:p>
      <w:pPr>
        <w:pStyle w:val="ListParagraph"/>
        <w:numPr>
          <w:ilvl w:val="0"/>
          <w:numId w:val="6"/>
        </w:numPr>
        <w:spacing w:after="60"/>
      </w:pPr>
      <w:r>
        <w:rPr>
          <w:b/>
          <w:bCs/>
        </w:rPr>
        <w:t xml:space="preserve">Result. </w:t>
      </w:r>
      <w:r>
        <w:t xml:space="preserve">The sum of the pulse weights divided by the number of trials is an absolute count rate in counts per second. Repeating the run with the hole filled with formation gives the no-borehole reference; the ratio of the two is the borehole effect.</w:t>
      </w:r>
    </w:p>
    <w:p>
      <w:pPr>
        <w:pStyle w:val="Heading1"/>
      </w:pPr>
      <w:r>
        <w:t xml:space="preserve">8. Is it a 3D simulation?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spacing w:after="0"/>
              <w:jc w:val="left"/>
            </w:pPr>
            <w:r>
              <w:rPr>
                <w:b/>
                <w:bCs/>
                <w:color w:val="FFFFFF"/>
                <w:sz w:val="19"/>
                <w:szCs w:val="19"/>
              </w:rPr>
              <w:t xml:space="preserve">Fully simulated in 3D</w:t>
            </w:r>
          </w:p>
        </w:tc>
        <w:tc>
          <w:tcPr>
            <w:tcW w:type="dxa" w:w="4819"/>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spacing w:after="0"/>
              <w:jc w:val="left"/>
            </w:pPr>
            <w:r>
              <w:rPr>
                <w:b/>
                <w:bCs/>
                <w:color w:val="FFFFFF"/>
                <w:sz w:val="19"/>
                <w:szCs w:val="19"/>
              </w:rPr>
              <w:t xml:space="preserve">Assumed to be symmetric</w:t>
            </w:r>
          </w:p>
        </w:tc>
      </w:tr>
      <w:tr>
        <w:tc>
          <w:tcPr>
            <w:tcW w:type="dxa" w:w="481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9"/>
                <w:szCs w:val="19"/>
              </w:rPr>
              <w:t xml:space="preserve">Photon paths, scattering angles and energies</w:t>
            </w:r>
          </w:p>
        </w:tc>
        <w:tc>
          <w:tcPr>
            <w:tcW w:type="dxa" w:w="481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9"/>
                <w:szCs w:val="19"/>
              </w:rPr>
              <w:t xml:space="preserve">The tool is centred on the borehole axis</w:t>
            </w:r>
          </w:p>
        </w:tc>
      </w:tr>
      <w:tr>
        <w:tc>
          <w:tcPr>
            <w:tcW w:type="dxa" w:w="4819"/>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9"/>
                <w:szCs w:val="19"/>
              </w:rPr>
              <w:t xml:space="preserve">Shielding by the backfill, the housing and the crystal from every direction</w:t>
            </w:r>
          </w:p>
        </w:tc>
        <w:tc>
          <w:tcPr>
            <w:tcW w:type="dxa" w:w="4819"/>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9"/>
                <w:szCs w:val="19"/>
              </w:rPr>
              <w:t xml:space="preserve">Layers are horizontal and the borehole is vertical</w:t>
            </w:r>
          </w:p>
        </w:tc>
      </w:tr>
      <w:tr>
        <w:tc>
          <w:tcPr>
            <w:tcW w:type="dxa" w:w="481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9"/>
                <w:szCs w:val="19"/>
              </w:rPr>
              <w:t xml:space="preserve">Radiation reaching the crystal from above, below and the sides</w:t>
            </w:r>
          </w:p>
        </w:tc>
        <w:tc>
          <w:tcPr>
            <w:tcW w:type="dxa" w:w="481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9"/>
                <w:szCs w:val="19"/>
              </w:rPr>
              <w:t xml:space="preserve">Each layer and fill zone is uniform all around the hole</w:t>
            </w:r>
          </w:p>
        </w:tc>
      </w:tr>
    </w:tbl>
    <w:p>
      <w:pPr>
        <w:spacing w:after="200" w:before="80"/>
      </w:pPr>
      <w:r>
        <w:rPr>
          <w:i/>
          <w:iCs/>
          <w:color w:val="404040"/>
          <w:sz w:val="18"/>
          <w:szCs w:val="18"/>
        </w:rPr>
        <w:t xml:space="preserve">Table 4. What is three-dimensional and what is assumed symmetric.</w:t>
      </w:r>
    </w:p>
    <w:p>
      <w:pPr>
        <w:spacing w:after="120" w:line="276"/>
      </w:pPr>
      <w:r>
        <w:t xml:space="preserve">An off-centre tool, a dipping bed or an eccentric hole would need the geometry to be built differently (boxes or shifted cylinders instead of coaxial rings). Geant4 handles such geometries without difficulty; only the Construct and RegionAt functions would change.</w:t>
      </w:r>
    </w:p>
    <w:p>
      <w:pPr>
        <w:pStyle w:val="Heading1"/>
      </w:pPr>
      <w:r>
        <w:t xml:space="preserve">9. How far the tool sees</w:t>
      </w:r>
    </w:p>
    <w:p>
      <w:pPr>
        <w:spacing w:after="120" w:line="276"/>
      </w:pPr>
      <w:r>
        <w:t xml:space="preserve">A gamma-ray tool does not measure a point. It averages the radiation from a volume around the crystal, whose size is set by how far gamma rays travel in rock: about 10 cm on average before their first interaction. The size of this volume controls both the borehole effect (radially) and the effect of bed thickness (vertically).</w:t>
      </w:r>
    </w:p>
    <w:p>
      <w:pPr>
        <w:pStyle w:val="Heading2"/>
      </w:pPr>
      <w:r>
        <w:t xml:space="preserve">9.1 Radially: radius of investigation</w:t>
      </w:r>
    </w:p>
    <w:p>
      <w:pPr>
        <w:spacing w:after="120" w:line="276"/>
      </w:pPr>
      <w:r>
        <w:t xml:space="preserve">To measure it, the formation was made radioactive only inside a cylinder of radius R around the axis, and R was increased until the full count rate was reached (sand, K = 1.2 %, U = 1.5 ppm, Th = 6 ppm). Figure 4 shows the share of the count rate that comes from inside R.</w:t>
      </w:r>
    </w:p>
    <w:p>
      <w:pPr>
        <w:spacing w:after="0" w:before="120"/>
        <w:jc w:val="center"/>
      </w:pPr>
      <w:r>
        <w:drawing>
          <wp:inline distT="0" distB="0" distL="0" distR="0">
            <wp:extent cx="4762500" cy="3028950"/>
            <wp:effectExtent t="0" r="0" b="0" l="0"/>
            <wp:docPr id="4" name="radial.png" descr="Radial response" title="Radial respo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3028950"/>
                    </a:xfrm>
                    <a:prstGeom prst="rect">
                      <a:avLst/>
                    </a:prstGeom>
                  </pic:spPr>
                </pic:pic>
              </a:graphicData>
            </a:graphic>
          </wp:inline>
        </w:drawing>
      </w:r>
    </w:p>
    <w:p>
      <w:pPr>
        <w:spacing w:after="200" w:before="80"/>
      </w:pPr>
      <w:r>
        <w:rPr>
          <w:i/>
          <w:iCs/>
          <w:color w:val="404040"/>
          <w:sz w:val="18"/>
          <w:szCs w:val="18"/>
        </w:rPr>
        <w:t xml:space="preserve">Figure 4. Radial response of the gamma-ray probe, simulated with Geant4: share of the count rate that comes from within radius R of the borehole axis.</w:t>
      </w:r>
    </w:p>
    <w:p>
      <w:pPr>
        <w:pStyle w:val="ListParagraph"/>
        <w:numPr>
          <w:ilvl w:val="0"/>
          <w:numId w:val="7"/>
        </w:numPr>
        <w:spacing w:after="60"/>
      </w:pPr>
      <w:r>
        <w:t xml:space="preserve">Without a borehole, half of the counts come from within 11 cm of the axis and 90 % from within 29 cm.</w:t>
      </w:r>
    </w:p>
    <w:p>
      <w:pPr>
        <w:pStyle w:val="ListParagraph"/>
        <w:numPr>
          <w:ilvl w:val="0"/>
          <w:numId w:val="7"/>
        </w:numPr>
        <w:spacing w:after="60"/>
      </w:pPr>
      <w:r>
        <w:t xml:space="preserve">In a 0.2 m water-filled hole, the first 10 cm are water, so the tool looks further: 50 % within 18 cm, 90 % within 35 cm.</w:t>
      </w:r>
    </w:p>
    <w:p>
      <w:pPr>
        <w:pStyle w:val="ListParagraph"/>
        <w:numPr>
          <w:ilvl w:val="0"/>
          <w:numId w:val="7"/>
        </w:numPr>
        <w:spacing w:after="60"/>
      </w:pPr>
      <w:r>
        <w:t xml:space="preserve">The backfill therefore replaces the part of the formation that the tool weights most. This is why the borehole effect is large and why the radioactivity of the backfill matters as much as its density.</w:t>
      </w:r>
    </w:p>
    <w:p>
      <w:pPr>
        <w:pStyle w:val="Heading2"/>
      </w:pPr>
      <w:r>
        <w:t xml:space="preserve">9.2 Vertically: bed boundaries and bed thickness</w:t>
      </w:r>
    </w:p>
    <w:p>
      <w:pPr>
        <w:spacing w:after="120" w:line="276"/>
      </w:pPr>
      <w:r>
        <w:t xml:space="preserve">For the same reason a bed boundary does not appear as a step on the log. Figure 5a shows the simulated logs across the clay/gravel boundary at 10 m depth. The log changes over a few decimetres, and the half-way point is exactly at the boundary: picking the half-amplitude point is the right way to place a bed boundary on a GR log.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3219"/>
        <w:gridCol w:w="3219"/>
      </w:tblGrid>
      <w:tr>
        <w:trPr>
          <w:tblHeader/>
        </w:trPr>
        <w:tc>
          <w:tcPr>
            <w:tcW w:type="dxa" w:w="32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spacing w:after="0"/>
              <w:jc w:val="left"/>
            </w:pPr>
            <w:r>
              <w:rPr>
                <w:b/>
                <w:bCs/>
                <w:color w:val="FFFFFF"/>
                <w:sz w:val="19"/>
                <w:szCs w:val="19"/>
              </w:rPr>
              <w:t xml:space="preserve">Hole</w:t>
            </w:r>
          </w:p>
        </w:tc>
        <w:tc>
          <w:tcPr>
            <w:tcW w:type="dxa" w:w="3219"/>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spacing w:after="0"/>
              <w:jc w:val="left"/>
            </w:pPr>
            <w:r>
              <w:rPr>
                <w:b/>
                <w:bCs/>
                <w:color w:val="FFFFFF"/>
                <w:sz w:val="19"/>
                <w:szCs w:val="19"/>
              </w:rPr>
              <w:t xml:space="preserve">10–90 % transition width</w:t>
            </w:r>
          </w:p>
        </w:tc>
        <w:tc>
          <w:tcPr>
            <w:tcW w:type="dxa" w:w="3219"/>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spacing w:after="0"/>
              <w:jc w:val="left"/>
            </w:pPr>
            <w:r>
              <w:rPr>
                <w:b/>
                <w:bCs/>
                <w:color w:val="FFFFFF"/>
                <w:sz w:val="19"/>
                <w:szCs w:val="19"/>
              </w:rPr>
              <w:t xml:space="preserve">Smoothing length σ</w:t>
            </w:r>
          </w:p>
        </w:tc>
      </w:tr>
      <w:tr>
        <w:tc>
          <w:tcPr>
            <w:tcW w:type="dxa" w:w="3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9"/>
                <w:szCs w:val="19"/>
              </w:rPr>
              <w:t xml:space="preserve">No borehole</w:t>
            </w:r>
          </w:p>
        </w:tc>
        <w:tc>
          <w:tcPr>
            <w:tcW w:type="dxa" w:w="321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9"/>
                <w:szCs w:val="19"/>
              </w:rPr>
              <w:t xml:space="preserve">26 cm</w:t>
            </w:r>
          </w:p>
        </w:tc>
        <w:tc>
          <w:tcPr>
            <w:tcW w:type="dxa" w:w="321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9"/>
                <w:szCs w:val="19"/>
              </w:rPr>
              <w:t xml:space="preserve">10 cm</w:t>
            </w:r>
          </w:p>
        </w:tc>
      </w:tr>
      <w:tr>
        <w:tc>
          <w:tcPr>
            <w:tcW w:type="dxa" w:w="32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9"/>
                <w:szCs w:val="19"/>
              </w:rPr>
              <w:t xml:space="preserve">Bentonite grout in a 0.2 m hole</w:t>
            </w:r>
          </w:p>
        </w:tc>
        <w:tc>
          <w:tcPr>
            <w:tcW w:type="dxa" w:w="3219"/>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9"/>
                <w:szCs w:val="19"/>
              </w:rPr>
              <w:t xml:space="preserve">36 cm</w:t>
            </w:r>
          </w:p>
        </w:tc>
        <w:tc>
          <w:tcPr>
            <w:tcW w:type="dxa" w:w="3219"/>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9"/>
                <w:szCs w:val="19"/>
              </w:rPr>
              <w:t xml:space="preserve">14 cm</w:t>
            </w:r>
          </w:p>
        </w:tc>
      </w:tr>
      <w:tr>
        <w:tc>
          <w:tcPr>
            <w:tcW w:type="dxa" w:w="3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9"/>
                <w:szCs w:val="19"/>
              </w:rPr>
              <w:t xml:space="preserve">Water in a 0.2 m hole</w:t>
            </w:r>
          </w:p>
        </w:tc>
        <w:tc>
          <w:tcPr>
            <w:tcW w:type="dxa" w:w="321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9"/>
                <w:szCs w:val="19"/>
              </w:rPr>
              <w:t xml:space="preserve">39 cm</w:t>
            </w:r>
          </w:p>
        </w:tc>
        <w:tc>
          <w:tcPr>
            <w:tcW w:type="dxa" w:w="321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9"/>
                <w:szCs w:val="19"/>
              </w:rPr>
              <w:t xml:space="preserve">15 cm</w:t>
            </w:r>
          </w:p>
        </w:tc>
      </w:tr>
    </w:tbl>
    <w:p>
      <w:pPr>
        <w:spacing w:after="200" w:before="80"/>
      </w:pPr>
      <w:r>
        <w:rPr>
          <w:i/>
          <w:iCs/>
          <w:color w:val="404040"/>
          <w:sz w:val="18"/>
          <w:szCs w:val="18"/>
        </w:rPr>
        <w:t xml:space="preserve">Table 5. Width of a bed boundary on the simulated GR log (fitted error-function step).</w:t>
      </w:r>
    </w:p>
    <w:p>
      <w:pPr>
        <w:spacing w:after="120" w:line="276"/>
      </w:pPr>
      <w:r>
        <w:t xml:space="preserve">A thin bed is affected from both sides: if it is thinner than the averaging length, its reading never reaches its true value. A thin shale between sands reads too low, a thin sand between shales too high. Table 6 and Figure 5b give the reading at the centre of a bed, as a share of its true contrast with the beds around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09"/>
        <w:gridCol w:w="2410"/>
        <w:gridCol w:w="2409"/>
      </w:tblGrid>
      <w:tr>
        <w:trPr>
          <w:tblHeader/>
        </w:trPr>
        <w:tc>
          <w:tcPr>
            <w:tcW w:type="dxa" w:w="241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spacing w:after="0"/>
              <w:jc w:val="left"/>
            </w:pPr>
            <w:r>
              <w:rPr>
                <w:b/>
                <w:bCs/>
                <w:color w:val="FFFFFF"/>
                <w:sz w:val="19"/>
                <w:szCs w:val="19"/>
              </w:rPr>
              <w:t xml:space="preserve">Bed thickness</w:t>
            </w:r>
          </w:p>
        </w:tc>
        <w:tc>
          <w:tcPr>
            <w:tcW w:type="dxa" w:w="2409"/>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spacing w:after="0"/>
              <w:jc w:val="left"/>
            </w:pPr>
            <w:r>
              <w:rPr>
                <w:b/>
                <w:bCs/>
                <w:color w:val="FFFFFF"/>
                <w:sz w:val="19"/>
                <w:szCs w:val="19"/>
              </w:rPr>
              <w:t xml:space="preserve">No borehole</w:t>
            </w:r>
          </w:p>
        </w:tc>
        <w:tc>
          <w:tcPr>
            <w:tcW w:type="dxa" w:w="241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spacing w:after="0"/>
              <w:jc w:val="left"/>
            </w:pPr>
            <w:r>
              <w:rPr>
                <w:b/>
                <w:bCs/>
                <w:color w:val="FFFFFF"/>
                <w:sz w:val="19"/>
                <w:szCs w:val="19"/>
              </w:rPr>
              <w:t xml:space="preserve">Bentonite-filled hole</w:t>
            </w:r>
          </w:p>
        </w:tc>
        <w:tc>
          <w:tcPr>
            <w:tcW w:type="dxa" w:w="2409"/>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spacing w:after="0"/>
              <w:jc w:val="left"/>
            </w:pPr>
            <w:r>
              <w:rPr>
                <w:b/>
                <w:bCs/>
                <w:color w:val="FFFFFF"/>
                <w:sz w:val="19"/>
                <w:szCs w:val="19"/>
              </w:rPr>
              <w:t xml:space="preserve">Water-filled hole</w:t>
            </w:r>
          </w:p>
        </w:tc>
      </w:tr>
      <w:tr>
        <w:tc>
          <w:tcPr>
            <w:tcW w:type="dxa" w:w="241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9"/>
                <w:szCs w:val="19"/>
              </w:rPr>
              <w:t xml:space="preserve">0.10 m</w:t>
            </w:r>
          </w:p>
        </w:tc>
        <w:tc>
          <w:tcPr>
            <w:tcW w:type="dxa" w:w="240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9"/>
                <w:szCs w:val="19"/>
              </w:rPr>
              <w:t xml:space="preserve">38 %</w:t>
            </w:r>
          </w:p>
        </w:tc>
        <w:tc>
          <w:tcPr>
            <w:tcW w:type="dxa" w:w="241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9"/>
                <w:szCs w:val="19"/>
              </w:rPr>
              <w:t xml:space="preserve">28 %</w:t>
            </w:r>
          </w:p>
        </w:tc>
        <w:tc>
          <w:tcPr>
            <w:tcW w:type="dxa" w:w="240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9"/>
                <w:szCs w:val="19"/>
              </w:rPr>
              <w:t xml:space="preserve">26 %</w:t>
            </w:r>
          </w:p>
        </w:tc>
      </w:tr>
      <w:tr>
        <w:tc>
          <w:tcPr>
            <w:tcW w:type="dxa" w:w="241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9"/>
                <w:szCs w:val="19"/>
              </w:rPr>
              <w:t xml:space="preserve">0.20 m</w:t>
            </w:r>
          </w:p>
        </w:tc>
        <w:tc>
          <w:tcPr>
            <w:tcW w:type="dxa" w:w="2409"/>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9"/>
                <w:szCs w:val="19"/>
              </w:rPr>
              <w:t xml:space="preserve">68 %</w:t>
            </w:r>
          </w:p>
        </w:tc>
        <w:tc>
          <w:tcPr>
            <w:tcW w:type="dxa" w:w="241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9"/>
                <w:szCs w:val="19"/>
              </w:rPr>
              <w:t xml:space="preserve">53 %</w:t>
            </w:r>
          </w:p>
        </w:tc>
        <w:tc>
          <w:tcPr>
            <w:tcW w:type="dxa" w:w="2409"/>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9"/>
                <w:szCs w:val="19"/>
              </w:rPr>
              <w:t xml:space="preserve">49 %</w:t>
            </w:r>
          </w:p>
        </w:tc>
      </w:tr>
      <w:tr>
        <w:tc>
          <w:tcPr>
            <w:tcW w:type="dxa" w:w="241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9"/>
                <w:szCs w:val="19"/>
              </w:rPr>
              <w:t xml:space="preserve">0.30 m</w:t>
            </w:r>
          </w:p>
        </w:tc>
        <w:tc>
          <w:tcPr>
            <w:tcW w:type="dxa" w:w="240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9"/>
                <w:szCs w:val="19"/>
              </w:rPr>
              <w:t xml:space="preserve">87 %</w:t>
            </w:r>
          </w:p>
        </w:tc>
        <w:tc>
          <w:tcPr>
            <w:tcW w:type="dxa" w:w="241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9"/>
                <w:szCs w:val="19"/>
              </w:rPr>
              <w:t xml:space="preserve">72 %</w:t>
            </w:r>
          </w:p>
        </w:tc>
        <w:tc>
          <w:tcPr>
            <w:tcW w:type="dxa" w:w="240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9"/>
                <w:szCs w:val="19"/>
              </w:rPr>
              <w:t xml:space="preserve">68 %</w:t>
            </w:r>
          </w:p>
        </w:tc>
      </w:tr>
      <w:tr>
        <w:tc>
          <w:tcPr>
            <w:tcW w:type="dxa" w:w="241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9"/>
                <w:szCs w:val="19"/>
              </w:rPr>
              <w:t xml:space="preserve">0.50 m</w:t>
            </w:r>
          </w:p>
        </w:tc>
        <w:tc>
          <w:tcPr>
            <w:tcW w:type="dxa" w:w="2409"/>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9"/>
                <w:szCs w:val="19"/>
              </w:rPr>
              <w:t xml:space="preserve">99 %</w:t>
            </w:r>
          </w:p>
        </w:tc>
        <w:tc>
          <w:tcPr>
            <w:tcW w:type="dxa" w:w="241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9"/>
                <w:szCs w:val="19"/>
              </w:rPr>
              <w:t xml:space="preserve">93 %</w:t>
            </w:r>
          </w:p>
        </w:tc>
        <w:tc>
          <w:tcPr>
            <w:tcW w:type="dxa" w:w="2409"/>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9"/>
                <w:szCs w:val="19"/>
              </w:rPr>
              <w:t xml:space="preserve">90 %</w:t>
            </w:r>
          </w:p>
        </w:tc>
      </w:tr>
      <w:tr>
        <w:tc>
          <w:tcPr>
            <w:tcW w:type="dxa" w:w="241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9"/>
                <w:szCs w:val="19"/>
              </w:rPr>
              <w:t xml:space="preserve">0.75 m</w:t>
            </w:r>
          </w:p>
        </w:tc>
        <w:tc>
          <w:tcPr>
            <w:tcW w:type="dxa" w:w="240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9"/>
                <w:szCs w:val="19"/>
              </w:rPr>
              <w:t xml:space="preserve">100 %</w:t>
            </w:r>
          </w:p>
        </w:tc>
        <w:tc>
          <w:tcPr>
            <w:tcW w:type="dxa" w:w="241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9"/>
                <w:szCs w:val="19"/>
              </w:rPr>
              <w:t xml:space="preserve">99 %</w:t>
            </w:r>
          </w:p>
        </w:tc>
        <w:tc>
          <w:tcPr>
            <w:tcW w:type="dxa" w:w="240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9"/>
                <w:szCs w:val="19"/>
              </w:rPr>
              <w:t xml:space="preserve">99 %</w:t>
            </w:r>
          </w:p>
        </w:tc>
      </w:tr>
      <w:tr>
        <w:tc>
          <w:tcPr>
            <w:tcW w:type="dxa" w:w="241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9"/>
                <w:szCs w:val="19"/>
              </w:rPr>
              <w:t xml:space="preserve">1.00 m</w:t>
            </w:r>
          </w:p>
        </w:tc>
        <w:tc>
          <w:tcPr>
            <w:tcW w:type="dxa" w:w="2409"/>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9"/>
                <w:szCs w:val="19"/>
              </w:rPr>
              <w:t xml:space="preserve">100 %</w:t>
            </w:r>
          </w:p>
        </w:tc>
        <w:tc>
          <w:tcPr>
            <w:tcW w:type="dxa" w:w="241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9"/>
                <w:szCs w:val="19"/>
              </w:rPr>
              <w:t xml:space="preserve">100 %</w:t>
            </w:r>
          </w:p>
        </w:tc>
        <w:tc>
          <w:tcPr>
            <w:tcW w:type="dxa" w:w="2409"/>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9"/>
                <w:szCs w:val="19"/>
              </w:rPr>
              <w:t xml:space="preserve">100 %</w:t>
            </w:r>
          </w:p>
        </w:tc>
      </w:tr>
    </w:tbl>
    <w:p>
      <w:pPr>
        <w:spacing w:after="200" w:before="80"/>
      </w:pPr>
      <w:r>
        <w:rPr>
          <w:i/>
          <w:iCs/>
          <w:color w:val="404040"/>
          <w:sz w:val="18"/>
          <w:szCs w:val="18"/>
        </w:rPr>
        <w:t xml:space="preserve">Table 6. Reading at the centre of a thin bed, as a share of its true contrast with the surrounding beds.</w:t>
      </w:r>
    </w:p>
    <w:p>
      <w:pPr>
        <w:spacing w:after="0" w:before="120"/>
        <w:jc w:val="center"/>
      </w:pPr>
      <w:r>
        <w:drawing>
          <wp:inline distT="0" distB="0" distL="0" distR="0">
            <wp:extent cx="5905500" cy="2543175"/>
            <wp:effectExtent t="0" r="0" b="0" l="0"/>
            <wp:docPr id="5" name="vertical.png" descr="Vertical response" title="Vertical respo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543175"/>
                    </a:xfrm>
                    <a:prstGeom prst="rect">
                      <a:avLst/>
                    </a:prstGeom>
                  </pic:spPr>
                </pic:pic>
              </a:graphicData>
            </a:graphic>
          </wp:inline>
        </w:drawing>
      </w:r>
    </w:p>
    <w:p>
      <w:pPr>
        <w:spacing w:after="200" w:before="80"/>
      </w:pPr>
      <w:r>
        <w:rPr>
          <w:i/>
          <w:iCs/>
          <w:color w:val="404040"/>
          <w:sz w:val="18"/>
          <w:szCs w:val="18"/>
        </w:rPr>
        <w:t xml:space="preserve">Figure 5. (a) Simulated GR across the clay/gravel boundary at 10 m (points) with fitted steps (lines), normalised to the two bed values. (b) Reading at the centre of a thin bed derived from these steps.</w:t>
      </w:r>
    </w:p>
    <w:p>
      <w:pPr>
        <w:pStyle w:val="ListParagraph"/>
        <w:numPr>
          <w:ilvl w:val="0"/>
          <w:numId w:val="7"/>
        </w:numPr>
        <w:spacing w:after="60"/>
      </w:pPr>
      <w:r>
        <w:t xml:space="preserve">Beds thicker than about 0.75 m read their true value in the middle. The 5 m beds of the example model are well above that, so their mid-bed values show the borehole effect alone.</w:t>
      </w:r>
    </w:p>
    <w:p>
      <w:pPr>
        <w:pStyle w:val="ListParagraph"/>
        <w:numPr>
          <w:ilvl w:val="0"/>
          <w:numId w:val="7"/>
        </w:numPr>
        <w:spacing w:after="60"/>
      </w:pPr>
      <w:r>
        <w:t xml:space="preserve">Beds of 0.2–0.5 m are underestimated, and the borehole makes this worse: a 20 cm shale streak shows only about half of its contrast in a water-filled hole.</w:t>
      </w:r>
    </w:p>
    <w:p>
      <w:pPr>
        <w:pStyle w:val="ListParagraph"/>
        <w:numPr>
          <w:ilvl w:val="0"/>
          <w:numId w:val="7"/>
        </w:numPr>
        <w:spacing w:after="60"/>
      </w:pPr>
      <w:r>
        <w:t xml:space="preserve">The values come from a fitted smooth step; the true response has slightly longer tails, so for 0.5–0.75 m beds the real reading may be a few percent lower. A real log is blurred further by the tool moving during the counting time, which this static simulation does not include; field gamma-ray tools quote a vertical resolution of 30–60 cm.</w:t>
      </w:r>
    </w:p>
    <w:p>
      <w:pPr>
        <w:pStyle w:val="Heading1"/>
      </w:pPr>
      <w:r>
        <w:t xml:space="preserve">10. Outputs and validation</w:t>
      </w:r>
    </w:p>
    <w:p>
      <w:pPr>
        <w:spacing w:after="120" w:line="276"/>
      </w:pPr>
      <w:r>
        <w:t xml:space="preserve">For each station, </w:t>
      </w:r>
      <w:r>
        <w:rPr>
          <w:rFonts w:ascii="Consolas" w:cs="Consolas" w:eastAsia="Consolas" w:hAnsi="Consolas"/>
          <w:sz w:val="19"/>
          <w:szCs w:val="19"/>
        </w:rPr>
        <w:t xml:space="preserve">GammaGeometry.run()</w:t>
      </w:r>
      <w:r>
        <w:t xml:space="preserve"> returns the gross count rate and its Monte Carlo error, the count rate from each nuclide group, the K, U and Th window count rates, apparent K, U and Th, the gamma ray in API units and the true API value of the layer. The conversion to API uses one calibration factor (counts/s per API), obtained from a simulated infinite formation, as for a gross-count tool calibrated in the API pit.</w:t>
      </w:r>
    </w:p>
    <w:p>
      <w:pPr>
        <w:spacing w:after="120" w:line="276"/>
      </w:pPr>
      <w:r>
        <w:t xml:space="preserve">The simulation was checked against three references:</w:t>
      </w:r>
    </w:p>
    <w:p>
      <w:pPr>
        <w:pStyle w:val="ListParagraph"/>
        <w:numPr>
          <w:ilvl w:val="0"/>
          <w:numId w:val="7"/>
        </w:numPr>
        <w:spacing w:after="60"/>
      </w:pPr>
      <w:r>
        <w:t xml:space="preserve">In an infinite homogeneous formation the count rate per unit mass concentration does not depend on bulk density. The simulation reproduces this within 1 % from 1.6 to 2.7 g/cm³.</w:t>
      </w:r>
    </w:p>
    <w:p>
      <w:pPr>
        <w:pStyle w:val="ListParagraph"/>
        <w:numPr>
          <w:ilvl w:val="0"/>
          <w:numId w:val="7"/>
        </w:numPr>
        <w:spacing w:after="60"/>
      </w:pPr>
      <w:r>
        <w:t xml:space="preserve">A 0.2 m (8 inch) water-filled hole with a centred 50 mm tool reduces the gross count rate to 0.76 of the no-hole value; the service-company correction charts give about 0.77.</w:t>
      </w:r>
    </w:p>
    <w:p>
      <w:pPr>
        <w:pStyle w:val="ListParagraph"/>
        <w:numPr>
          <w:ilvl w:val="0"/>
          <w:numId w:val="7"/>
        </w:numPr>
        <w:spacing w:after="60"/>
      </w:pPr>
      <w:r>
        <w:t xml:space="preserve">The analog OpenMC code, run on the same problem, gives the same count rates per unit concentration within its statistical error (Geant4 / OpenMC: K 43.0 / 45.3 ± 3.6 %, U 22.2 / 21.0 ± 4.3 %, Th 8.91 / 9.22 ± 3.7 % counts/s).</w:t>
      </w:r>
    </w:p>
    <w:p>
      <w:pPr>
        <w:pStyle w:val="Heading1"/>
      </w:pPr>
      <w:r>
        <w:t xml:space="preserve">11. K, U and Th of geological materials</w:t>
      </w:r>
    </w:p>
    <w:p>
      <w:pPr>
        <w:spacing w:after="120" w:line="276"/>
      </w:pPr>
      <w:r>
        <w:t xml:space="preserve">The table gives representative concentrations of potassium, uranium and thorium in common rocks, sediments, minerals and borehole materials. Use them to fill </w:t>
      </w:r>
      <w:r>
        <w:rPr>
          <w:rFonts w:ascii="Consolas" w:cs="Consolas" w:eastAsia="Consolas" w:hAnsi="Consolas"/>
          <w:sz w:val="19"/>
          <w:szCs w:val="19"/>
        </w:rPr>
        <w:t xml:space="preserve">GR_LAYERS</w:t>
      </w:r>
      <w:r>
        <w:t xml:space="preserve"> and </w:t>
      </w:r>
      <w:r>
        <w:rPr>
          <w:rFonts w:ascii="Consolas" w:cs="Consolas" w:eastAsia="Consolas" w:hAnsi="Consolas"/>
          <w:sz w:val="19"/>
          <w:szCs w:val="19"/>
        </w:rPr>
        <w:t xml:space="preserve">GR_BACKFILL_SWEEP</w:t>
      </w:r>
      <w:r>
        <w:t xml:space="preserve"> in run_combined.py when no core or spectral gamma-ray data are available. The first number is a typical value, the range in brackets covers most published measurements. The API column is the standard estimate 16 K + 8 U + 4 Th from the typical values.</w:t>
      </w:r>
    </w:p>
    <w:p>
      <w:pPr>
        <w:spacing w:after="120" w:line="276"/>
      </w:pPr>
      <w:r>
        <w:rPr>
          <w:b/>
          <w:bCs/>
        </w:rPr>
        <w:t xml:space="preserve">Natural variability is large: </w:t>
      </w:r>
      <w:r>
        <w:t xml:space="preserve">the same rock type can vary by an order of magnitude between sites. Local measurements (core assays, spectral gamma-ray logs, laboratory gamma spectrometry of the grout) should always take precedence.</w:t>
      </w:r>
    </w:p>
    <w:tbl>
      <w:tblPr>
        <w:tblW w:type="dxa" w:w="9738"/>
        <w:tblBorders>
          <w:top w:val="single" w:color="auto" w:sz="4"/>
          <w:left w:val="single" w:color="auto" w:sz="4"/>
          <w:bottom w:val="single" w:color="auto" w:sz="4"/>
          <w:right w:val="single" w:color="auto" w:sz="4"/>
          <w:insideH w:val="single" w:color="auto" w:sz="4"/>
          <w:insideV w:val="single" w:color="auto" w:sz="4"/>
        </w:tblBorders>
      </w:tblPr>
      <w:tblGrid>
        <w:gridCol w:w="2900"/>
        <w:gridCol w:w="1500"/>
        <w:gridCol w:w="1500"/>
        <w:gridCol w:w="1500"/>
        <w:gridCol w:w="700"/>
        <w:gridCol w:w="1638"/>
      </w:tblGrid>
      <w:tr>
        <w:trPr>
          <w:tblHeader/>
        </w:trPr>
        <w:tc>
          <w:tcPr>
            <w:tcW w:type="dxa" w:w="29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spacing w:after="0"/>
              <w:jc w:val="left"/>
            </w:pPr>
            <w:r>
              <w:rPr>
                <w:b/>
                <w:bCs/>
                <w:color w:val="FFFFFF"/>
                <w:sz w:val="17"/>
                <w:szCs w:val="17"/>
              </w:rPr>
              <w:t xml:space="preserve">Material</w:t>
            </w:r>
          </w:p>
        </w:tc>
        <w:tc>
          <w:tcPr>
            <w:tcW w:type="dxa" w:w="15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spacing w:after="0"/>
              <w:jc w:val="left"/>
            </w:pPr>
            <w:r>
              <w:rPr>
                <w:b/>
                <w:bCs/>
                <w:color w:val="FFFFFF"/>
                <w:sz w:val="17"/>
                <w:szCs w:val="17"/>
              </w:rPr>
              <w:t xml:space="preserve">K (%)</w:t>
            </w:r>
          </w:p>
        </w:tc>
        <w:tc>
          <w:tcPr>
            <w:tcW w:type="dxa" w:w="15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spacing w:after="0"/>
              <w:jc w:val="left"/>
            </w:pPr>
            <w:r>
              <w:rPr>
                <w:b/>
                <w:bCs/>
                <w:color w:val="FFFFFF"/>
                <w:sz w:val="17"/>
                <w:szCs w:val="17"/>
              </w:rPr>
              <w:t xml:space="preserve">U (ppm)</w:t>
            </w:r>
          </w:p>
        </w:tc>
        <w:tc>
          <w:tcPr>
            <w:tcW w:type="dxa" w:w="15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spacing w:after="0"/>
              <w:jc w:val="left"/>
            </w:pPr>
            <w:r>
              <w:rPr>
                <w:b/>
                <w:bCs/>
                <w:color w:val="FFFFFF"/>
                <w:sz w:val="17"/>
                <w:szCs w:val="17"/>
              </w:rPr>
              <w:t xml:space="preserve">Th (ppm)</w:t>
            </w:r>
          </w:p>
        </w:tc>
        <w:tc>
          <w:tcPr>
            <w:tcW w:type="dxa" w:w="7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spacing w:after="0"/>
              <w:jc w:val="left"/>
            </w:pPr>
            <w:r>
              <w:rPr>
                <w:b/>
                <w:bCs/>
                <w:color w:val="FFFFFF"/>
                <w:sz w:val="17"/>
                <w:szCs w:val="17"/>
              </w:rPr>
              <w:t xml:space="preserve">API</w:t>
            </w:r>
          </w:p>
        </w:tc>
        <w:tc>
          <w:tcPr>
            <w:tcW w:type="dxa" w:w="1638"/>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spacing w:after="0"/>
              <w:jc w:val="left"/>
            </w:pPr>
            <w:r>
              <w:rPr>
                <w:b/>
                <w:bCs/>
                <w:color w:val="FFFFFF"/>
                <w:sz w:val="17"/>
                <w:szCs w:val="17"/>
              </w:rPr>
              <w:t xml:space="preserve">Note</w:t>
            </w:r>
          </w:p>
        </w:tc>
      </w:tr>
      <w:tr>
        <w:tc>
          <w:tcPr>
            <w:tcW w:type="dxa" w:w="9738"/>
            <w:gridSpan w:val="6"/>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pPr>
            <w:r>
              <w:rPr>
                <w:b/>
                <w:bCs/>
                <w:sz w:val="17"/>
                <w:szCs w:val="17"/>
              </w:rPr>
              <w:t xml:space="preserve">Igneous rocks</w:t>
            </w:r>
          </w:p>
        </w:tc>
      </w:tr>
      <w:tr>
        <w:tc>
          <w:tcPr>
            <w:tcW w:type="dxa" w:w="29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7"/>
                <w:szCs w:val="17"/>
              </w:rPr>
              <w:t xml:space="preserve">Granite</w:t>
            </w:r>
          </w:p>
        </w:tc>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7"/>
                <w:szCs w:val="17"/>
              </w:rPr>
              <w:t xml:space="preserve">3.5 (2–5)</w:t>
            </w:r>
          </w:p>
        </w:tc>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7"/>
                <w:szCs w:val="17"/>
              </w:rPr>
              <w:t xml:space="preserve">4.5 (2–15)</w:t>
            </w:r>
          </w:p>
        </w:tc>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7"/>
                <w:szCs w:val="17"/>
              </w:rPr>
              <w:t xml:space="preserve">18 (8–50)</w:t>
            </w:r>
          </w:p>
        </w:tc>
        <w:tc>
          <w:tcPr>
            <w:tcW w:type="dxa" w:w="7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7"/>
                <w:szCs w:val="17"/>
              </w:rPr>
              <w:t xml:space="preserve">164</w:t>
            </w:r>
          </w:p>
        </w:tc>
        <w:tc>
          <w:tcPr>
            <w:tcW w:type="dxa" w:w="1638"/>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7"/>
                <w:szCs w:val="17"/>
              </w:rPr>
              <w:t xml:space="preserve"/>
            </w:r>
          </w:p>
        </w:tc>
      </w:tr>
      <w:tr>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7"/>
                <w:szCs w:val="17"/>
              </w:rPr>
              <w:t xml:space="preserve">Rhyolite</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7"/>
                <w:szCs w:val="17"/>
              </w:rPr>
              <w:t xml:space="preserve">3.6 (2–5.5)</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7"/>
                <w:szCs w:val="17"/>
              </w:rPr>
              <w:t xml:space="preserve">4.5 (2–8)</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7"/>
                <w:szCs w:val="17"/>
              </w:rPr>
              <w:t xml:space="preserve">16 (6–30)</w:t>
            </w:r>
          </w:p>
        </w:tc>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7"/>
                <w:szCs w:val="17"/>
              </w:rPr>
              <w:t xml:space="preserve">158</w:t>
            </w:r>
          </w:p>
        </w:tc>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7"/>
                <w:szCs w:val="17"/>
              </w:rPr>
              <w:t xml:space="preserve"/>
            </w:r>
          </w:p>
        </w:tc>
      </w:tr>
      <w:tr>
        <w:tc>
          <w:tcPr>
            <w:tcW w:type="dxa" w:w="29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7"/>
                <w:szCs w:val="17"/>
              </w:rPr>
              <w:t xml:space="preserve">Granodiorite</w:t>
            </w:r>
          </w:p>
        </w:tc>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7"/>
                <w:szCs w:val="17"/>
              </w:rPr>
              <w:t xml:space="preserve">2.5 (1.5–3.5)</w:t>
            </w:r>
          </w:p>
        </w:tc>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7"/>
                <w:szCs w:val="17"/>
              </w:rPr>
              <w:t xml:space="preserve">2.6 (1–5)</w:t>
            </w:r>
          </w:p>
        </w:tc>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7"/>
                <w:szCs w:val="17"/>
              </w:rPr>
              <w:t xml:space="preserve">9 (5–20)</w:t>
            </w:r>
          </w:p>
        </w:tc>
        <w:tc>
          <w:tcPr>
            <w:tcW w:type="dxa" w:w="7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7"/>
                <w:szCs w:val="17"/>
              </w:rPr>
              <w:t xml:space="preserve">97</w:t>
            </w:r>
          </w:p>
        </w:tc>
        <w:tc>
          <w:tcPr>
            <w:tcW w:type="dxa" w:w="1638"/>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7"/>
                <w:szCs w:val="17"/>
              </w:rPr>
              <w:t xml:space="preserve"/>
            </w:r>
          </w:p>
        </w:tc>
      </w:tr>
      <w:tr>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7"/>
                <w:szCs w:val="17"/>
              </w:rPr>
              <w:t xml:space="preserve">Andesite</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7"/>
                <w:szCs w:val="17"/>
              </w:rPr>
              <w:t xml:space="preserve">1.7 (0.8–3)</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7"/>
                <w:szCs w:val="17"/>
              </w:rPr>
              <w:t xml:space="preserve">1.2 (0.5–3)</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7"/>
                <w:szCs w:val="17"/>
              </w:rPr>
              <w:t xml:space="preserve">4 (1–10)</w:t>
            </w:r>
          </w:p>
        </w:tc>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7"/>
                <w:szCs w:val="17"/>
              </w:rPr>
              <w:t xml:space="preserve">53</w:t>
            </w:r>
          </w:p>
        </w:tc>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7"/>
                <w:szCs w:val="17"/>
              </w:rPr>
              <w:t xml:space="preserve"/>
            </w:r>
          </w:p>
        </w:tc>
      </w:tr>
      <w:tr>
        <w:tc>
          <w:tcPr>
            <w:tcW w:type="dxa" w:w="29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7"/>
                <w:szCs w:val="17"/>
              </w:rPr>
              <w:t xml:space="preserve">Basalt</w:t>
            </w:r>
          </w:p>
        </w:tc>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7"/>
                <w:szCs w:val="17"/>
              </w:rPr>
              <w:t xml:space="preserve">0.8 (0.2–2)</w:t>
            </w:r>
          </w:p>
        </w:tc>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7"/>
                <w:szCs w:val="17"/>
              </w:rPr>
              <w:t xml:space="preserve">0.5 (0.1–1.5)</w:t>
            </w:r>
          </w:p>
        </w:tc>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7"/>
                <w:szCs w:val="17"/>
              </w:rPr>
              <w:t xml:space="preserve">2 (0.5–5)</w:t>
            </w:r>
          </w:p>
        </w:tc>
        <w:tc>
          <w:tcPr>
            <w:tcW w:type="dxa" w:w="7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7"/>
                <w:szCs w:val="17"/>
              </w:rPr>
              <w:t xml:space="preserve">25</w:t>
            </w:r>
          </w:p>
        </w:tc>
        <w:tc>
          <w:tcPr>
            <w:tcW w:type="dxa" w:w="1638"/>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7"/>
                <w:szCs w:val="17"/>
              </w:rPr>
              <w:t xml:space="preserve"/>
            </w:r>
          </w:p>
        </w:tc>
      </w:tr>
      <w:tr>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7"/>
                <w:szCs w:val="17"/>
              </w:rPr>
              <w:t xml:space="preserve">Gabbro</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7"/>
                <w:szCs w:val="17"/>
              </w:rPr>
              <w:t xml:space="preserve">0.5 (0.1–1)</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7"/>
                <w:szCs w:val="17"/>
              </w:rPr>
              <w:t xml:space="preserve">0.5 (0.1–1.5)</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7"/>
                <w:szCs w:val="17"/>
              </w:rPr>
              <w:t xml:space="preserve">1.5 (0.3–4)</w:t>
            </w:r>
          </w:p>
        </w:tc>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7"/>
                <w:szCs w:val="17"/>
              </w:rPr>
              <w:t xml:space="preserve">18</w:t>
            </w:r>
          </w:p>
        </w:tc>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7"/>
                <w:szCs w:val="17"/>
              </w:rPr>
              <w:t xml:space="preserve"/>
            </w:r>
          </w:p>
        </w:tc>
      </w:tr>
      <w:tr>
        <w:tc>
          <w:tcPr>
            <w:tcW w:type="dxa" w:w="29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7"/>
                <w:szCs w:val="17"/>
              </w:rPr>
              <w:t xml:space="preserve">Peridotite, dunite (ultramafic)</w:t>
            </w:r>
          </w:p>
        </w:tc>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7"/>
                <w:szCs w:val="17"/>
              </w:rPr>
              <w:t xml:space="preserve">0.02 (&lt;0.1)</w:t>
            </w:r>
          </w:p>
        </w:tc>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7"/>
                <w:szCs w:val="17"/>
              </w:rPr>
              <w:t xml:space="preserve">0.02 (&lt;0.1)</w:t>
            </w:r>
          </w:p>
        </w:tc>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7"/>
                <w:szCs w:val="17"/>
              </w:rPr>
              <w:t xml:space="preserve">0.05 (&lt;0.2)</w:t>
            </w:r>
          </w:p>
        </w:tc>
        <w:tc>
          <w:tcPr>
            <w:tcW w:type="dxa" w:w="7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7"/>
                <w:szCs w:val="17"/>
              </w:rPr>
              <w:t xml:space="preserve">1</w:t>
            </w:r>
          </w:p>
        </w:tc>
        <w:tc>
          <w:tcPr>
            <w:tcW w:type="dxa" w:w="1638"/>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7"/>
                <w:szCs w:val="17"/>
              </w:rPr>
              <w:t xml:space="preserve">lowest GR of all rocks</w:t>
            </w:r>
          </w:p>
        </w:tc>
      </w:tr>
      <w:tr>
        <w:tc>
          <w:tcPr>
            <w:tcW w:type="dxa" w:w="9738"/>
            <w:gridSpan w:val="6"/>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pPr>
            <w:r>
              <w:rPr>
                <w:b/>
                <w:bCs/>
                <w:sz w:val="17"/>
                <w:szCs w:val="17"/>
              </w:rPr>
              <w:t xml:space="preserve">Metamorphic rocks</w:t>
            </w:r>
          </w:p>
        </w:tc>
      </w:tr>
      <w:tr>
        <w:tc>
          <w:tcPr>
            <w:tcW w:type="dxa" w:w="29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7"/>
                <w:szCs w:val="17"/>
              </w:rPr>
              <w:t xml:space="preserve">Gneiss</w:t>
            </w:r>
          </w:p>
        </w:tc>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7"/>
                <w:szCs w:val="17"/>
              </w:rPr>
              <w:t xml:space="preserve">2.5 (1–4)</w:t>
            </w:r>
          </w:p>
        </w:tc>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7"/>
                <w:szCs w:val="17"/>
              </w:rPr>
              <w:t xml:space="preserve">3 (1–8)</w:t>
            </w:r>
          </w:p>
        </w:tc>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7"/>
                <w:szCs w:val="17"/>
              </w:rPr>
              <w:t xml:space="preserve">12 (5–25)</w:t>
            </w:r>
          </w:p>
        </w:tc>
        <w:tc>
          <w:tcPr>
            <w:tcW w:type="dxa" w:w="7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7"/>
                <w:szCs w:val="17"/>
              </w:rPr>
              <w:t xml:space="preserve">112</w:t>
            </w:r>
          </w:p>
        </w:tc>
        <w:tc>
          <w:tcPr>
            <w:tcW w:type="dxa" w:w="1638"/>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7"/>
                <w:szCs w:val="17"/>
              </w:rPr>
              <w:t xml:space="preserve"/>
            </w:r>
          </w:p>
        </w:tc>
      </w:tr>
      <w:tr>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7"/>
                <w:szCs w:val="17"/>
              </w:rPr>
              <w:t xml:space="preserve">Mica schist</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7"/>
                <w:szCs w:val="17"/>
              </w:rPr>
              <w:t xml:space="preserve">2.5 (1–4)</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7"/>
                <w:szCs w:val="17"/>
              </w:rPr>
              <w:t xml:space="preserve">2.5 (1–5)</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7"/>
                <w:szCs w:val="17"/>
              </w:rPr>
              <w:t xml:space="preserve">10 (5–20)</w:t>
            </w:r>
          </w:p>
        </w:tc>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7"/>
                <w:szCs w:val="17"/>
              </w:rPr>
              <w:t xml:space="preserve">100</w:t>
            </w:r>
          </w:p>
        </w:tc>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7"/>
                <w:szCs w:val="17"/>
              </w:rPr>
              <w:t xml:space="preserve"/>
            </w:r>
          </w:p>
        </w:tc>
      </w:tr>
      <w:tr>
        <w:tc>
          <w:tcPr>
            <w:tcW w:type="dxa" w:w="29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7"/>
                <w:szCs w:val="17"/>
              </w:rPr>
              <w:t xml:space="preserve">Amphibolite</w:t>
            </w:r>
          </w:p>
        </w:tc>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7"/>
                <w:szCs w:val="17"/>
              </w:rPr>
              <w:t xml:space="preserve">0.6 (0.2–1.5)</w:t>
            </w:r>
          </w:p>
        </w:tc>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7"/>
                <w:szCs w:val="17"/>
              </w:rPr>
              <w:t xml:space="preserve">0.7 (0.2–2)</w:t>
            </w:r>
          </w:p>
        </w:tc>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7"/>
                <w:szCs w:val="17"/>
              </w:rPr>
              <w:t xml:space="preserve">2 (0.5–5)</w:t>
            </w:r>
          </w:p>
        </w:tc>
        <w:tc>
          <w:tcPr>
            <w:tcW w:type="dxa" w:w="7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7"/>
                <w:szCs w:val="17"/>
              </w:rPr>
              <w:t xml:space="preserve">23</w:t>
            </w:r>
          </w:p>
        </w:tc>
        <w:tc>
          <w:tcPr>
            <w:tcW w:type="dxa" w:w="1638"/>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7"/>
                <w:szCs w:val="17"/>
              </w:rPr>
              <w:t xml:space="preserve"/>
            </w:r>
          </w:p>
        </w:tc>
      </w:tr>
      <w:tr>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7"/>
                <w:szCs w:val="17"/>
              </w:rPr>
              <w:t xml:space="preserve">Quartzite</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7"/>
                <w:szCs w:val="17"/>
              </w:rPr>
              <w:t xml:space="preserve">0.4 (0.1–1.5)</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7"/>
                <w:szCs w:val="17"/>
              </w:rPr>
              <w:t xml:space="preserve">0.6 (0.2–2)</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7"/>
                <w:szCs w:val="17"/>
              </w:rPr>
              <w:t xml:space="preserve">2 (0.5–5)</w:t>
            </w:r>
          </w:p>
        </w:tc>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7"/>
                <w:szCs w:val="17"/>
              </w:rPr>
              <w:t xml:space="preserve">19</w:t>
            </w:r>
          </w:p>
        </w:tc>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7"/>
                <w:szCs w:val="17"/>
              </w:rPr>
              <w:t xml:space="preserve"/>
            </w:r>
          </w:p>
        </w:tc>
      </w:tr>
      <w:tr>
        <w:tc>
          <w:tcPr>
            <w:tcW w:type="dxa" w:w="29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7"/>
                <w:szCs w:val="17"/>
              </w:rPr>
              <w:t xml:space="preserve">Marble</w:t>
            </w:r>
          </w:p>
        </w:tc>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7"/>
                <w:szCs w:val="17"/>
              </w:rPr>
              <w:t xml:space="preserve">0.1 (&lt;0.5)</w:t>
            </w:r>
          </w:p>
        </w:tc>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7"/>
                <w:szCs w:val="17"/>
              </w:rPr>
              <w:t xml:space="preserve">1 (0.2–3)</w:t>
            </w:r>
          </w:p>
        </w:tc>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7"/>
                <w:szCs w:val="17"/>
              </w:rPr>
              <w:t xml:space="preserve">0.5 (0.1–2)</w:t>
            </w:r>
          </w:p>
        </w:tc>
        <w:tc>
          <w:tcPr>
            <w:tcW w:type="dxa" w:w="7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7"/>
                <w:szCs w:val="17"/>
              </w:rPr>
              <w:t xml:space="preserve">12</w:t>
            </w:r>
          </w:p>
        </w:tc>
        <w:tc>
          <w:tcPr>
            <w:tcW w:type="dxa" w:w="1638"/>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7"/>
                <w:szCs w:val="17"/>
              </w:rPr>
              <w:t xml:space="preserve"/>
            </w:r>
          </w:p>
        </w:tc>
      </w:tr>
      <w:tr>
        <w:tc>
          <w:tcPr>
            <w:tcW w:type="dxa" w:w="9738"/>
            <w:gridSpan w:val="6"/>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pPr>
            <w:r>
              <w:rPr>
                <w:b/>
                <w:bCs/>
                <w:sz w:val="17"/>
                <w:szCs w:val="17"/>
              </w:rPr>
              <w:t xml:space="preserve">Sedimentary rocks</w:t>
            </w:r>
          </w:p>
        </w:tc>
      </w:tr>
      <w:tr>
        <w:tc>
          <w:tcPr>
            <w:tcW w:type="dxa" w:w="29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7"/>
                <w:szCs w:val="17"/>
              </w:rPr>
              <w:t xml:space="preserve">Shale (world average)</w:t>
            </w:r>
          </w:p>
        </w:tc>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7"/>
                <w:szCs w:val="17"/>
              </w:rPr>
              <w:t xml:space="preserve">2.7 (1.5–4)</w:t>
            </w:r>
          </w:p>
        </w:tc>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7"/>
                <w:szCs w:val="17"/>
              </w:rPr>
              <w:t xml:space="preserve">3.7 (2–6)</w:t>
            </w:r>
          </w:p>
        </w:tc>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7"/>
                <w:szCs w:val="17"/>
              </w:rPr>
              <w:t xml:space="preserve">12 (8–18)</w:t>
            </w:r>
          </w:p>
        </w:tc>
        <w:tc>
          <w:tcPr>
            <w:tcW w:type="dxa" w:w="7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7"/>
                <w:szCs w:val="17"/>
              </w:rPr>
              <w:t xml:space="preserve">121</w:t>
            </w:r>
          </w:p>
        </w:tc>
        <w:tc>
          <w:tcPr>
            <w:tcW w:type="dxa" w:w="1638"/>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7"/>
                <w:szCs w:val="17"/>
              </w:rPr>
              <w:t xml:space="preserve"/>
            </w:r>
          </w:p>
        </w:tc>
      </w:tr>
      <w:tr>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7"/>
                <w:szCs w:val="17"/>
              </w:rPr>
              <w:t xml:space="preserve">Black (organic-rich) shale</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7"/>
                <w:szCs w:val="17"/>
              </w:rPr>
              <w:t xml:space="preserve">2.5 (1–4)</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7"/>
                <w:szCs w:val="17"/>
              </w:rPr>
              <w:t xml:space="preserve">20 (5–&gt;100)</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7"/>
                <w:szCs w:val="17"/>
              </w:rPr>
              <w:t xml:space="preserve">10 (5–15)</w:t>
            </w:r>
          </w:p>
        </w:tc>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7"/>
                <w:szCs w:val="17"/>
              </w:rPr>
              <w:t xml:space="preserve">240</w:t>
            </w:r>
          </w:p>
        </w:tc>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7"/>
                <w:szCs w:val="17"/>
              </w:rPr>
              <w:t xml:space="preserve">U bound to organic matter</w:t>
            </w:r>
          </w:p>
        </w:tc>
      </w:tr>
      <w:tr>
        <w:tc>
          <w:tcPr>
            <w:tcW w:type="dxa" w:w="29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7"/>
                <w:szCs w:val="17"/>
              </w:rPr>
              <w:t xml:space="preserve">Mudstone, claystone</w:t>
            </w:r>
          </w:p>
        </w:tc>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7"/>
                <w:szCs w:val="17"/>
              </w:rPr>
              <w:t xml:space="preserve">2 (1–3.5)</w:t>
            </w:r>
          </w:p>
        </w:tc>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7"/>
                <w:szCs w:val="17"/>
              </w:rPr>
              <w:t xml:space="preserve">3 (1.5–5)</w:t>
            </w:r>
          </w:p>
        </w:tc>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7"/>
                <w:szCs w:val="17"/>
              </w:rPr>
              <w:t xml:space="preserve">10 (6–15)</w:t>
            </w:r>
          </w:p>
        </w:tc>
        <w:tc>
          <w:tcPr>
            <w:tcW w:type="dxa" w:w="7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7"/>
                <w:szCs w:val="17"/>
              </w:rPr>
              <w:t xml:space="preserve">96</w:t>
            </w:r>
          </w:p>
        </w:tc>
        <w:tc>
          <w:tcPr>
            <w:tcW w:type="dxa" w:w="1638"/>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7"/>
                <w:szCs w:val="17"/>
              </w:rPr>
              <w:t xml:space="preserve"/>
            </w:r>
          </w:p>
        </w:tc>
      </w:tr>
      <w:tr>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7"/>
                <w:szCs w:val="17"/>
              </w:rPr>
              <w:t xml:space="preserve">Siltstone</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7"/>
                <w:szCs w:val="17"/>
              </w:rPr>
              <w:t xml:space="preserve">1.8 (1–3)</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7"/>
                <w:szCs w:val="17"/>
              </w:rPr>
              <w:t xml:space="preserve">2.5 (1–4)</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7"/>
                <w:szCs w:val="17"/>
              </w:rPr>
              <w:t xml:space="preserve">8 (4–12)</w:t>
            </w:r>
          </w:p>
        </w:tc>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7"/>
                <w:szCs w:val="17"/>
              </w:rPr>
              <w:t xml:space="preserve">81</w:t>
            </w:r>
          </w:p>
        </w:tc>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7"/>
                <w:szCs w:val="17"/>
              </w:rPr>
              <w:t xml:space="preserve"/>
            </w:r>
          </w:p>
        </w:tc>
      </w:tr>
      <w:tr>
        <w:tc>
          <w:tcPr>
            <w:tcW w:type="dxa" w:w="29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7"/>
                <w:szCs w:val="17"/>
              </w:rPr>
              <w:t xml:space="preserve">Greywacke</w:t>
            </w:r>
          </w:p>
        </w:tc>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7"/>
                <w:szCs w:val="17"/>
              </w:rPr>
              <w:t xml:space="preserve">1.5 (1–2.5)</w:t>
            </w:r>
          </w:p>
        </w:tc>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7"/>
                <w:szCs w:val="17"/>
              </w:rPr>
              <w:t xml:space="preserve">2 (1–3)</w:t>
            </w:r>
          </w:p>
        </w:tc>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7"/>
                <w:szCs w:val="17"/>
              </w:rPr>
              <w:t xml:space="preserve">7 (4–10)</w:t>
            </w:r>
          </w:p>
        </w:tc>
        <w:tc>
          <w:tcPr>
            <w:tcW w:type="dxa" w:w="7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7"/>
                <w:szCs w:val="17"/>
              </w:rPr>
              <w:t xml:space="preserve">68</w:t>
            </w:r>
          </w:p>
        </w:tc>
        <w:tc>
          <w:tcPr>
            <w:tcW w:type="dxa" w:w="1638"/>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7"/>
                <w:szCs w:val="17"/>
              </w:rPr>
              <w:t xml:space="preserve"/>
            </w:r>
          </w:p>
        </w:tc>
      </w:tr>
      <w:tr>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7"/>
                <w:szCs w:val="17"/>
              </w:rPr>
              <w:t xml:space="preserve">Arkose (feldspathic sandstone)</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7"/>
                <w:szCs w:val="17"/>
              </w:rPr>
              <w:t xml:space="preserve">2.5 (1.5–4)</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7"/>
                <w:szCs w:val="17"/>
              </w:rPr>
              <w:t xml:space="preserve">1.5 (0.5–3)</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7"/>
                <w:szCs w:val="17"/>
              </w:rPr>
              <w:t xml:space="preserve">5 (2–10)</w:t>
            </w:r>
          </w:p>
        </w:tc>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7"/>
                <w:szCs w:val="17"/>
              </w:rPr>
              <w:t xml:space="preserve">72</w:t>
            </w:r>
          </w:p>
        </w:tc>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7"/>
                <w:szCs w:val="17"/>
              </w:rPr>
              <w:t xml:space="preserve">high K from feldspar: 'hot' sand</w:t>
            </w:r>
          </w:p>
        </w:tc>
      </w:tr>
      <w:tr>
        <w:tc>
          <w:tcPr>
            <w:tcW w:type="dxa" w:w="29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7"/>
                <w:szCs w:val="17"/>
              </w:rPr>
              <w:t xml:space="preserve">Clean quartz sandstone</w:t>
            </w:r>
          </w:p>
        </w:tc>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7"/>
                <w:szCs w:val="17"/>
              </w:rPr>
              <w:t xml:space="preserve">0.3 (0.1–1)</w:t>
            </w:r>
          </w:p>
        </w:tc>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7"/>
                <w:szCs w:val="17"/>
              </w:rPr>
              <w:t xml:space="preserve">0.6 (0.2–1.5)</w:t>
            </w:r>
          </w:p>
        </w:tc>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7"/>
                <w:szCs w:val="17"/>
              </w:rPr>
              <w:t xml:space="preserve">2 (0.7–4)</w:t>
            </w:r>
          </w:p>
        </w:tc>
        <w:tc>
          <w:tcPr>
            <w:tcW w:type="dxa" w:w="7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7"/>
                <w:szCs w:val="17"/>
              </w:rPr>
              <w:t xml:space="preserve">18</w:t>
            </w:r>
          </w:p>
        </w:tc>
        <w:tc>
          <w:tcPr>
            <w:tcW w:type="dxa" w:w="1638"/>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7"/>
                <w:szCs w:val="17"/>
              </w:rPr>
              <w:t xml:space="preserve"/>
            </w:r>
          </w:p>
        </w:tc>
      </w:tr>
      <w:tr>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7"/>
                <w:szCs w:val="17"/>
              </w:rPr>
              <w:t xml:space="preserve">Limestone</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7"/>
                <w:szCs w:val="17"/>
              </w:rPr>
              <w:t xml:space="preserve">0.3 (0–1)</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7"/>
                <w:szCs w:val="17"/>
              </w:rPr>
              <w:t xml:space="preserve">2 (0.5–5)</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7"/>
                <w:szCs w:val="17"/>
              </w:rPr>
              <w:t xml:space="preserve">1.5 (0.2–3)</w:t>
            </w:r>
          </w:p>
        </w:tc>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7"/>
                <w:szCs w:val="17"/>
              </w:rPr>
              <w:t xml:space="preserve">27</w:t>
            </w:r>
          </w:p>
        </w:tc>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7"/>
                <w:szCs w:val="17"/>
              </w:rPr>
              <w:t xml:space="preserve"/>
            </w:r>
          </w:p>
        </w:tc>
      </w:tr>
      <w:tr>
        <w:tc>
          <w:tcPr>
            <w:tcW w:type="dxa" w:w="29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7"/>
                <w:szCs w:val="17"/>
              </w:rPr>
              <w:t xml:space="preserve">Chalk</w:t>
            </w:r>
          </w:p>
        </w:tc>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7"/>
                <w:szCs w:val="17"/>
              </w:rPr>
              <w:t xml:space="preserve">0.1 (0–0.3)</w:t>
            </w:r>
          </w:p>
        </w:tc>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7"/>
                <w:szCs w:val="17"/>
              </w:rPr>
              <w:t xml:space="preserve">1.5 (0.5–3)</w:t>
            </w:r>
          </w:p>
        </w:tc>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7"/>
                <w:szCs w:val="17"/>
              </w:rPr>
              <w:t xml:space="preserve">0.8 (0.1–2)</w:t>
            </w:r>
          </w:p>
        </w:tc>
        <w:tc>
          <w:tcPr>
            <w:tcW w:type="dxa" w:w="7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7"/>
                <w:szCs w:val="17"/>
              </w:rPr>
              <w:t xml:space="preserve">17</w:t>
            </w:r>
          </w:p>
        </w:tc>
        <w:tc>
          <w:tcPr>
            <w:tcW w:type="dxa" w:w="1638"/>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7"/>
                <w:szCs w:val="17"/>
              </w:rPr>
              <w:t xml:space="preserve"/>
            </w:r>
          </w:p>
        </w:tc>
      </w:tr>
      <w:tr>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7"/>
                <w:szCs w:val="17"/>
              </w:rPr>
              <w:t xml:space="preserve">Dolomite</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7"/>
                <w:szCs w:val="17"/>
              </w:rPr>
              <w:t xml:space="preserve">0.2 (0–1)</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7"/>
                <w:szCs w:val="17"/>
              </w:rPr>
              <w:t xml:space="preserve">1.5 (0.2–4)</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7"/>
                <w:szCs w:val="17"/>
              </w:rPr>
              <w:t xml:space="preserve">0.8 (0.1–2)</w:t>
            </w:r>
          </w:p>
        </w:tc>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7"/>
                <w:szCs w:val="17"/>
              </w:rPr>
              <w:t xml:space="preserve">18</w:t>
            </w:r>
          </w:p>
        </w:tc>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7"/>
                <w:szCs w:val="17"/>
              </w:rPr>
              <w:t xml:space="preserve"/>
            </w:r>
          </w:p>
        </w:tc>
      </w:tr>
      <w:tr>
        <w:tc>
          <w:tcPr>
            <w:tcW w:type="dxa" w:w="29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7"/>
                <w:szCs w:val="17"/>
              </w:rPr>
              <w:t xml:space="preserve">Phosphorite</w:t>
            </w:r>
          </w:p>
        </w:tc>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7"/>
                <w:szCs w:val="17"/>
              </w:rPr>
              <w:t xml:space="preserve">0.3 (0.1–1)</w:t>
            </w:r>
          </w:p>
        </w:tc>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7"/>
                <w:szCs w:val="17"/>
              </w:rPr>
              <w:t xml:space="preserve">100 (50–300)</w:t>
            </w:r>
          </w:p>
        </w:tc>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7"/>
                <w:szCs w:val="17"/>
              </w:rPr>
              <w:t xml:space="preserve">5 (1–20)</w:t>
            </w:r>
          </w:p>
        </w:tc>
        <w:tc>
          <w:tcPr>
            <w:tcW w:type="dxa" w:w="7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7"/>
                <w:szCs w:val="17"/>
              </w:rPr>
              <w:t xml:space="preserve">825</w:t>
            </w:r>
          </w:p>
        </w:tc>
        <w:tc>
          <w:tcPr>
            <w:tcW w:type="dxa" w:w="1638"/>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7"/>
                <w:szCs w:val="17"/>
              </w:rPr>
              <w:t xml:space="preserve">very high U</w:t>
            </w:r>
          </w:p>
        </w:tc>
      </w:tr>
      <w:tr>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7"/>
                <w:szCs w:val="17"/>
              </w:rPr>
              <w:t xml:space="preserve">Halite, anhydrite, gypsum</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7"/>
                <w:szCs w:val="17"/>
              </w:rPr>
              <w:t xml:space="preserve">0.05 (&lt;0.2)</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7"/>
                <w:szCs w:val="17"/>
              </w:rPr>
              <w:t xml:space="preserve">0.1 (&lt;0.5)</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7"/>
                <w:szCs w:val="17"/>
              </w:rPr>
              <w:t xml:space="preserve">0.1 (&lt;0.5)</w:t>
            </w:r>
          </w:p>
        </w:tc>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7"/>
                <w:szCs w:val="17"/>
              </w:rPr>
              <w:t xml:space="preserve">2</w:t>
            </w:r>
          </w:p>
        </w:tc>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7"/>
                <w:szCs w:val="17"/>
              </w:rPr>
              <w:t xml:space="preserve"/>
            </w:r>
          </w:p>
        </w:tc>
      </w:tr>
      <w:tr>
        <w:tc>
          <w:tcPr>
            <w:tcW w:type="dxa" w:w="29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7"/>
                <w:szCs w:val="17"/>
              </w:rPr>
              <w:t xml:space="preserve">Sylvite, carnallite (potash salts)</w:t>
            </w:r>
          </w:p>
        </w:tc>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7"/>
                <w:szCs w:val="17"/>
              </w:rPr>
              <w:t xml:space="preserve">52 (15–52)</w:t>
            </w:r>
          </w:p>
        </w:tc>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7"/>
                <w:szCs w:val="17"/>
              </w:rPr>
              <w:t xml:space="preserve">0</w:t>
            </w:r>
          </w:p>
        </w:tc>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7"/>
                <w:szCs w:val="17"/>
              </w:rPr>
              <w:t xml:space="preserve">0</w:t>
            </w:r>
          </w:p>
        </w:tc>
        <w:tc>
          <w:tcPr>
            <w:tcW w:type="dxa" w:w="7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7"/>
                <w:szCs w:val="17"/>
              </w:rPr>
              <w:t xml:space="preserve">832</w:t>
            </w:r>
          </w:p>
        </w:tc>
        <w:tc>
          <w:tcPr>
            <w:tcW w:type="dxa" w:w="1638"/>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7"/>
                <w:szCs w:val="17"/>
              </w:rPr>
              <w:t xml:space="preserve">pure KCl: 52 % K</w:t>
            </w:r>
          </w:p>
        </w:tc>
      </w:tr>
      <w:tr>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7"/>
                <w:szCs w:val="17"/>
              </w:rPr>
              <w:t xml:space="preserve">Coal</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7"/>
                <w:szCs w:val="17"/>
              </w:rPr>
              <w:t xml:space="preserve">0.2 (0.05–1)</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7"/>
                <w:szCs w:val="17"/>
              </w:rPr>
              <w:t xml:space="preserve">1.5 (0.5–5)</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7"/>
                <w:szCs w:val="17"/>
              </w:rPr>
              <w:t xml:space="preserve">3 (1–8)</w:t>
            </w:r>
          </w:p>
        </w:tc>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7"/>
                <w:szCs w:val="17"/>
              </w:rPr>
              <w:t xml:space="preserve">27</w:t>
            </w:r>
          </w:p>
        </w:tc>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7"/>
                <w:szCs w:val="17"/>
              </w:rPr>
              <w:t xml:space="preserve">rises with ash content</w:t>
            </w:r>
          </w:p>
        </w:tc>
      </w:tr>
      <w:tr>
        <w:tc>
          <w:tcPr>
            <w:tcW w:type="dxa" w:w="9738"/>
            <w:gridSpan w:val="6"/>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pPr>
            <w:r>
              <w:rPr>
                <w:b/>
                <w:bCs/>
                <w:sz w:val="17"/>
                <w:szCs w:val="17"/>
              </w:rPr>
              <w:t xml:space="preserve">Clay and K-bearing minerals</w:t>
            </w:r>
          </w:p>
        </w:tc>
      </w:tr>
      <w:tr>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7"/>
                <w:szCs w:val="17"/>
              </w:rPr>
              <w:t xml:space="preserve">Kaolinite</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7"/>
                <w:szCs w:val="17"/>
              </w:rPr>
              <w:t xml:space="preserve">0.4 (0–0.6)</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7"/>
                <w:szCs w:val="17"/>
              </w:rPr>
              <w:t xml:space="preserve">2 (1.5–3)</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7"/>
                <w:szCs w:val="17"/>
              </w:rPr>
              <w:t xml:space="preserve">12 (6–19)</w:t>
            </w:r>
          </w:p>
        </w:tc>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7"/>
                <w:szCs w:val="17"/>
              </w:rPr>
              <w:t xml:space="preserve">70</w:t>
            </w:r>
          </w:p>
        </w:tc>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7"/>
                <w:szCs w:val="17"/>
              </w:rPr>
              <w:t xml:space="preserve"/>
            </w:r>
          </w:p>
        </w:tc>
      </w:tr>
      <w:tr>
        <w:tc>
          <w:tcPr>
            <w:tcW w:type="dxa" w:w="29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7"/>
                <w:szCs w:val="17"/>
              </w:rPr>
              <w:t xml:space="preserve">Illite</w:t>
            </w:r>
          </w:p>
        </w:tc>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7"/>
                <w:szCs w:val="17"/>
              </w:rPr>
              <w:t xml:space="preserve">4.5 (3.5–8)</w:t>
            </w:r>
          </w:p>
        </w:tc>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7"/>
                <w:szCs w:val="17"/>
              </w:rPr>
              <w:t xml:space="preserve">1.5 (1–5)</w:t>
            </w:r>
          </w:p>
        </w:tc>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7"/>
                <w:szCs w:val="17"/>
              </w:rPr>
              <w:t xml:space="preserve">15 (10–25)</w:t>
            </w:r>
          </w:p>
        </w:tc>
        <w:tc>
          <w:tcPr>
            <w:tcW w:type="dxa" w:w="7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7"/>
                <w:szCs w:val="17"/>
              </w:rPr>
              <w:t xml:space="preserve">144</w:t>
            </w:r>
          </w:p>
        </w:tc>
        <w:tc>
          <w:tcPr>
            <w:tcW w:type="dxa" w:w="1638"/>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7"/>
                <w:szCs w:val="17"/>
              </w:rPr>
              <w:t xml:space="preserve"/>
            </w:r>
          </w:p>
        </w:tc>
      </w:tr>
      <w:tr>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7"/>
                <w:szCs w:val="17"/>
              </w:rPr>
              <w:t xml:space="preserve">Smectite (montmorillonite)</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7"/>
                <w:szCs w:val="17"/>
              </w:rPr>
              <w:t xml:space="preserve">0.2 (0–1.5)</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7"/>
                <w:szCs w:val="17"/>
              </w:rPr>
              <w:t xml:space="preserve">3 (2–5)</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7"/>
                <w:szCs w:val="17"/>
              </w:rPr>
              <w:t xml:space="preserve">18 (14–24)</w:t>
            </w:r>
          </w:p>
        </w:tc>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7"/>
                <w:szCs w:val="17"/>
              </w:rPr>
              <w:t xml:space="preserve">99</w:t>
            </w:r>
          </w:p>
        </w:tc>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7"/>
                <w:szCs w:val="17"/>
              </w:rPr>
              <w:t xml:space="preserve"/>
            </w:r>
          </w:p>
        </w:tc>
      </w:tr>
      <w:tr>
        <w:tc>
          <w:tcPr>
            <w:tcW w:type="dxa" w:w="29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7"/>
                <w:szCs w:val="17"/>
              </w:rPr>
              <w:t xml:space="preserve">Chlorite</w:t>
            </w:r>
          </w:p>
        </w:tc>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7"/>
                <w:szCs w:val="17"/>
              </w:rPr>
              <w:t xml:space="preserve">0.1 (0–0.4)</w:t>
            </w:r>
          </w:p>
        </w:tc>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7"/>
                <w:szCs w:val="17"/>
              </w:rPr>
              <w:t xml:space="preserve">1 (0.5–2)</w:t>
            </w:r>
          </w:p>
        </w:tc>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7"/>
                <w:szCs w:val="17"/>
              </w:rPr>
              <w:t xml:space="preserve">4 (3–5)</w:t>
            </w:r>
          </w:p>
        </w:tc>
        <w:tc>
          <w:tcPr>
            <w:tcW w:type="dxa" w:w="7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7"/>
                <w:szCs w:val="17"/>
              </w:rPr>
              <w:t xml:space="preserve">26</w:t>
            </w:r>
          </w:p>
        </w:tc>
        <w:tc>
          <w:tcPr>
            <w:tcW w:type="dxa" w:w="1638"/>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7"/>
                <w:szCs w:val="17"/>
              </w:rPr>
              <w:t xml:space="preserve"/>
            </w:r>
          </w:p>
        </w:tc>
      </w:tr>
      <w:tr>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7"/>
                <w:szCs w:val="17"/>
              </w:rPr>
              <w:t xml:space="preserve">Glauconite</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7"/>
                <w:szCs w:val="17"/>
              </w:rPr>
              <w:t xml:space="preserve">5 (3.2–5.8)</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7"/>
                <w:szCs w:val="17"/>
              </w:rPr>
              <w:t xml:space="preserve">1 (0.5–2)</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7"/>
                <w:szCs w:val="17"/>
              </w:rPr>
              <w:t xml:space="preserve">4 (2–8)</w:t>
            </w:r>
          </w:p>
        </w:tc>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7"/>
                <w:szCs w:val="17"/>
              </w:rPr>
              <w:t xml:space="preserve">104</w:t>
            </w:r>
          </w:p>
        </w:tc>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7"/>
                <w:szCs w:val="17"/>
              </w:rPr>
              <w:t xml:space="preserve"/>
            </w:r>
          </w:p>
        </w:tc>
      </w:tr>
      <w:tr>
        <w:tc>
          <w:tcPr>
            <w:tcW w:type="dxa" w:w="29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7"/>
                <w:szCs w:val="17"/>
              </w:rPr>
              <w:t xml:space="preserve">K-feldspar (orthoclase, microcline)</w:t>
            </w:r>
          </w:p>
        </w:tc>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7"/>
                <w:szCs w:val="17"/>
              </w:rPr>
              <w:t xml:space="preserve">12 (10–14)</w:t>
            </w:r>
          </w:p>
        </w:tc>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7"/>
                <w:szCs w:val="17"/>
              </w:rPr>
              <w:t xml:space="preserve">1 (0.2–3)</w:t>
            </w:r>
          </w:p>
        </w:tc>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7"/>
                <w:szCs w:val="17"/>
              </w:rPr>
              <w:t xml:space="preserve">3 (0.5–5)</w:t>
            </w:r>
          </w:p>
        </w:tc>
        <w:tc>
          <w:tcPr>
            <w:tcW w:type="dxa" w:w="7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7"/>
                <w:szCs w:val="17"/>
              </w:rPr>
              <w:t xml:space="preserve">212</w:t>
            </w:r>
          </w:p>
        </w:tc>
        <w:tc>
          <w:tcPr>
            <w:tcW w:type="dxa" w:w="1638"/>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7"/>
                <w:szCs w:val="17"/>
              </w:rPr>
              <w:t xml:space="preserve"/>
            </w:r>
          </w:p>
        </w:tc>
      </w:tr>
      <w:tr>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7"/>
                <w:szCs w:val="17"/>
              </w:rPr>
              <w:t xml:space="preserve">Muscovite, biotite</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7"/>
                <w:szCs w:val="17"/>
              </w:rPr>
              <w:t xml:space="preserve">8 (6–9)</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7"/>
                <w:szCs w:val="17"/>
              </w:rPr>
              <w:t xml:space="preserve">2 (0.5–5)</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7"/>
                <w:szCs w:val="17"/>
              </w:rPr>
              <w:t xml:space="preserve">10 (1–25)</w:t>
            </w:r>
          </w:p>
        </w:tc>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7"/>
                <w:szCs w:val="17"/>
              </w:rPr>
              <w:t xml:space="preserve">184</w:t>
            </w:r>
          </w:p>
        </w:tc>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7"/>
                <w:szCs w:val="17"/>
              </w:rPr>
              <w:t xml:space="preserve"/>
            </w:r>
          </w:p>
        </w:tc>
      </w:tr>
      <w:tr>
        <w:tc>
          <w:tcPr>
            <w:tcW w:type="dxa" w:w="9738"/>
            <w:gridSpan w:val="6"/>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pPr>
            <w:r>
              <w:rPr>
                <w:b/>
                <w:bCs/>
                <w:sz w:val="17"/>
                <w:szCs w:val="17"/>
              </w:rPr>
              <w:t xml:space="preserve">Unconsolidated sediments</w:t>
            </w:r>
          </w:p>
        </w:tc>
      </w:tr>
      <w:tr>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7"/>
                <w:szCs w:val="17"/>
              </w:rPr>
              <w:t xml:space="preserve">Glacial till, boulder clay</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7"/>
                <w:szCs w:val="17"/>
              </w:rPr>
              <w:t xml:space="preserve">1.8 (1–2.5)</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7"/>
                <w:szCs w:val="17"/>
              </w:rPr>
              <w:t xml:space="preserve">2 (1–3)</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7"/>
                <w:szCs w:val="17"/>
              </w:rPr>
              <w:t xml:space="preserve">8 (5–12)</w:t>
            </w:r>
          </w:p>
        </w:tc>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7"/>
                <w:szCs w:val="17"/>
              </w:rPr>
              <w:t xml:space="preserve">77</w:t>
            </w:r>
          </w:p>
        </w:tc>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7"/>
                <w:szCs w:val="17"/>
              </w:rPr>
              <w:t xml:space="preserve"/>
            </w:r>
          </w:p>
        </w:tc>
      </w:tr>
      <w:tr>
        <w:tc>
          <w:tcPr>
            <w:tcW w:type="dxa" w:w="29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7"/>
                <w:szCs w:val="17"/>
              </w:rPr>
              <w:t xml:space="preserve">Loess</w:t>
            </w:r>
          </w:p>
        </w:tc>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7"/>
                <w:szCs w:val="17"/>
              </w:rPr>
              <w:t xml:space="preserve">1.8 (1.3–2.2)</w:t>
            </w:r>
          </w:p>
        </w:tc>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7"/>
                <w:szCs w:val="17"/>
              </w:rPr>
              <w:t xml:space="preserve">2.5 (2–3.5)</w:t>
            </w:r>
          </w:p>
        </w:tc>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7"/>
                <w:szCs w:val="17"/>
              </w:rPr>
              <w:t xml:space="preserve">9 (7–12)</w:t>
            </w:r>
          </w:p>
        </w:tc>
        <w:tc>
          <w:tcPr>
            <w:tcW w:type="dxa" w:w="7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7"/>
                <w:szCs w:val="17"/>
              </w:rPr>
              <w:t xml:space="preserve">85</w:t>
            </w:r>
          </w:p>
        </w:tc>
        <w:tc>
          <w:tcPr>
            <w:tcW w:type="dxa" w:w="1638"/>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7"/>
                <w:szCs w:val="17"/>
              </w:rPr>
              <w:t xml:space="preserve"/>
            </w:r>
          </w:p>
        </w:tc>
      </w:tr>
      <w:tr>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7"/>
                <w:szCs w:val="17"/>
              </w:rPr>
              <w:t xml:space="preserve">Marine / lacustrine clay</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7"/>
                <w:szCs w:val="17"/>
              </w:rPr>
              <w:t xml:space="preserve">2.2 (1.5–3)</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7"/>
                <w:szCs w:val="17"/>
              </w:rPr>
              <w:t xml:space="preserve">2.5 (1.5–4)</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7"/>
                <w:szCs w:val="17"/>
              </w:rPr>
              <w:t xml:space="preserve">10 (7–14)</w:t>
            </w:r>
          </w:p>
        </w:tc>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7"/>
                <w:szCs w:val="17"/>
              </w:rPr>
              <w:t xml:space="preserve">95</w:t>
            </w:r>
          </w:p>
        </w:tc>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7"/>
                <w:szCs w:val="17"/>
              </w:rPr>
              <w:t xml:space="preserve"/>
            </w:r>
          </w:p>
        </w:tc>
      </w:tr>
      <w:tr>
        <w:tc>
          <w:tcPr>
            <w:tcW w:type="dxa" w:w="29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7"/>
                <w:szCs w:val="17"/>
              </w:rPr>
              <w:t xml:space="preserve">Fluvial sand and gravel</w:t>
            </w:r>
          </w:p>
        </w:tc>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7"/>
                <w:szCs w:val="17"/>
              </w:rPr>
              <w:t xml:space="preserve">0.6 (0.2–1.5)</w:t>
            </w:r>
          </w:p>
        </w:tc>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7"/>
                <w:szCs w:val="17"/>
              </w:rPr>
              <w:t xml:space="preserve">0.8 (0.3–1.5)</w:t>
            </w:r>
          </w:p>
        </w:tc>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7"/>
                <w:szCs w:val="17"/>
              </w:rPr>
              <w:t xml:space="preserve">2.5 (1–5)</w:t>
            </w:r>
          </w:p>
        </w:tc>
        <w:tc>
          <w:tcPr>
            <w:tcW w:type="dxa" w:w="7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7"/>
                <w:szCs w:val="17"/>
              </w:rPr>
              <w:t xml:space="preserve">26</w:t>
            </w:r>
          </w:p>
        </w:tc>
        <w:tc>
          <w:tcPr>
            <w:tcW w:type="dxa" w:w="1638"/>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7"/>
                <w:szCs w:val="17"/>
              </w:rPr>
              <w:t xml:space="preserve"/>
            </w:r>
          </w:p>
        </w:tc>
      </w:tr>
      <w:tr>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7"/>
                <w:szCs w:val="17"/>
              </w:rPr>
              <w:t xml:space="preserve">Peat</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7"/>
                <w:szCs w:val="17"/>
              </w:rPr>
              <w:t xml:space="preserve">0.1 (&lt;0.5)</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7"/>
                <w:szCs w:val="17"/>
              </w:rPr>
              <w:t xml:space="preserve">1 (0.2–5)</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7"/>
                <w:szCs w:val="17"/>
              </w:rPr>
              <w:t xml:space="preserve">0.5 (&lt;2)</w:t>
            </w:r>
          </w:p>
        </w:tc>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7"/>
                <w:szCs w:val="17"/>
              </w:rPr>
              <w:t xml:space="preserve">12</w:t>
            </w:r>
          </w:p>
        </w:tc>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7"/>
                <w:szCs w:val="17"/>
              </w:rPr>
              <w:t xml:space="preserve"/>
            </w:r>
          </w:p>
        </w:tc>
      </w:tr>
      <w:tr>
        <w:tc>
          <w:tcPr>
            <w:tcW w:type="dxa" w:w="29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7"/>
                <w:szCs w:val="17"/>
              </w:rPr>
              <w:t xml:space="preserve">Heavy-mineral sand (monazite, zircon)</w:t>
            </w:r>
          </w:p>
        </w:tc>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7"/>
                <w:szCs w:val="17"/>
              </w:rPr>
              <w:t xml:space="preserve">0.3</w:t>
            </w:r>
          </w:p>
        </w:tc>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7"/>
                <w:szCs w:val="17"/>
              </w:rPr>
              <w:t xml:space="preserve">20 (5–50)</w:t>
            </w:r>
          </w:p>
        </w:tc>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7"/>
                <w:szCs w:val="17"/>
              </w:rPr>
              <w:t xml:space="preserve">200 (50–&gt;1000)</w:t>
            </w:r>
          </w:p>
        </w:tc>
        <w:tc>
          <w:tcPr>
            <w:tcW w:type="dxa" w:w="7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7"/>
                <w:szCs w:val="17"/>
              </w:rPr>
              <w:t xml:space="preserve">965</w:t>
            </w:r>
          </w:p>
        </w:tc>
        <w:tc>
          <w:tcPr>
            <w:tcW w:type="dxa" w:w="1638"/>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7"/>
                <w:szCs w:val="17"/>
              </w:rPr>
              <w:t xml:space="preserve">extreme Th</w:t>
            </w:r>
          </w:p>
        </w:tc>
      </w:tr>
      <w:tr>
        <w:tc>
          <w:tcPr>
            <w:tcW w:type="dxa" w:w="9738"/>
            <w:gridSpan w:val="6"/>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pPr>
            <w:r>
              <w:rPr>
                <w:b/>
                <w:bCs/>
                <w:sz w:val="17"/>
                <w:szCs w:val="17"/>
              </w:rPr>
              <w:t xml:space="preserve">Borehole fill and drilling materials</w:t>
            </w:r>
          </w:p>
        </w:tc>
      </w:tr>
      <w:tr>
        <w:tc>
          <w:tcPr>
            <w:tcW w:type="dxa" w:w="29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7"/>
                <w:szCs w:val="17"/>
              </w:rPr>
              <w:t xml:space="preserve">Bentonite (pure clay, dry)</w:t>
            </w:r>
          </w:p>
        </w:tc>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7"/>
                <w:szCs w:val="17"/>
              </w:rPr>
              <w:t xml:space="preserve">0.5 (0.2–1.5)</w:t>
            </w:r>
          </w:p>
        </w:tc>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7"/>
                <w:szCs w:val="17"/>
              </w:rPr>
              <w:t xml:space="preserve">4 (2–8)</w:t>
            </w:r>
          </w:p>
        </w:tc>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7"/>
                <w:szCs w:val="17"/>
              </w:rPr>
              <w:t xml:space="preserve">20 (10–40)</w:t>
            </w:r>
          </w:p>
        </w:tc>
        <w:tc>
          <w:tcPr>
            <w:tcW w:type="dxa" w:w="7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7"/>
                <w:szCs w:val="17"/>
              </w:rPr>
              <w:t xml:space="preserve">120</w:t>
            </w:r>
          </w:p>
        </w:tc>
        <w:tc>
          <w:tcPr>
            <w:tcW w:type="dxa" w:w="1638"/>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7"/>
                <w:szCs w:val="17"/>
              </w:rPr>
              <w:t xml:space="preserve"/>
            </w:r>
          </w:p>
        </w:tc>
      </w:tr>
      <w:tr>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7"/>
                <w:szCs w:val="17"/>
              </w:rPr>
              <w:t xml:space="preserve">Bentonite grout (as mixed, ~1.4 g/cm³)</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7"/>
                <w:szCs w:val="17"/>
              </w:rPr>
              <w:t xml:space="preserve">0.3</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7"/>
                <w:szCs w:val="17"/>
              </w:rPr>
              <w:t xml:space="preserve">2</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7"/>
                <w:szCs w:val="17"/>
              </w:rPr>
              <w:t xml:space="preserve">8</w:t>
            </w:r>
          </w:p>
        </w:tc>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7"/>
                <w:szCs w:val="17"/>
              </w:rPr>
              <w:t xml:space="preserve">53</w:t>
            </w:r>
          </w:p>
        </w:tc>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7"/>
                <w:szCs w:val="17"/>
              </w:rPr>
              <w:t xml:space="preserve">value used in run_combined.py</w:t>
            </w:r>
          </w:p>
        </w:tc>
      </w:tr>
      <w:tr>
        <w:tc>
          <w:tcPr>
            <w:tcW w:type="dxa" w:w="29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7"/>
                <w:szCs w:val="17"/>
              </w:rPr>
              <w:t xml:space="preserve">Portland cement</w:t>
            </w:r>
          </w:p>
        </w:tc>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7"/>
                <w:szCs w:val="17"/>
              </w:rPr>
              <w:t xml:space="preserve">0.5 (0.2–1)</w:t>
            </w:r>
          </w:p>
        </w:tc>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7"/>
                <w:szCs w:val="17"/>
              </w:rPr>
              <w:t xml:space="preserve">3 (1–6)</w:t>
            </w:r>
          </w:p>
        </w:tc>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7"/>
                <w:szCs w:val="17"/>
              </w:rPr>
              <w:t xml:space="preserve">6 (2–10)</w:t>
            </w:r>
          </w:p>
        </w:tc>
        <w:tc>
          <w:tcPr>
            <w:tcW w:type="dxa" w:w="7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7"/>
                <w:szCs w:val="17"/>
              </w:rPr>
              <w:t xml:space="preserve">56</w:t>
            </w:r>
          </w:p>
        </w:tc>
        <w:tc>
          <w:tcPr>
            <w:tcW w:type="dxa" w:w="1638"/>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7"/>
                <w:szCs w:val="17"/>
              </w:rPr>
              <w:t xml:space="preserve"/>
            </w:r>
          </w:p>
        </w:tc>
      </w:tr>
      <w:tr>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7"/>
                <w:szCs w:val="17"/>
              </w:rPr>
              <w:t xml:space="preserve">Cement grout (as mixed, ~1.85 g/cm³)</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7"/>
                <w:szCs w:val="17"/>
              </w:rPr>
              <w:t xml:space="preserve">0.35</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7"/>
                <w:szCs w:val="17"/>
              </w:rPr>
              <w:t xml:space="preserve">2</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7"/>
                <w:szCs w:val="17"/>
              </w:rPr>
              <w:t xml:space="preserve">4</w:t>
            </w:r>
          </w:p>
        </w:tc>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7"/>
                <w:szCs w:val="17"/>
              </w:rPr>
              <w:t xml:space="preserve">38</w:t>
            </w:r>
          </w:p>
        </w:tc>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7"/>
                <w:szCs w:val="17"/>
              </w:rPr>
              <w:t xml:space="preserve">value used in run_combined.py</w:t>
            </w:r>
          </w:p>
        </w:tc>
      </w:tr>
      <w:tr>
        <w:tc>
          <w:tcPr>
            <w:tcW w:type="dxa" w:w="29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7"/>
                <w:szCs w:val="17"/>
              </w:rPr>
              <w:t xml:space="preserve">Quartz filter sand</w:t>
            </w:r>
          </w:p>
        </w:tc>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7"/>
                <w:szCs w:val="17"/>
              </w:rPr>
              <w:t xml:space="preserve">0.3 (0.1–0.5)</w:t>
            </w:r>
          </w:p>
        </w:tc>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7"/>
                <w:szCs w:val="17"/>
              </w:rPr>
              <w:t xml:space="preserve">0.5 (0.2–1)</w:t>
            </w:r>
          </w:p>
        </w:tc>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7"/>
                <w:szCs w:val="17"/>
              </w:rPr>
              <w:t xml:space="preserve">1.5 (0.5–3)</w:t>
            </w:r>
          </w:p>
        </w:tc>
        <w:tc>
          <w:tcPr>
            <w:tcW w:type="dxa" w:w="7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7"/>
                <w:szCs w:val="17"/>
              </w:rPr>
              <w:t xml:space="preserve">15</w:t>
            </w:r>
          </w:p>
        </w:tc>
        <w:tc>
          <w:tcPr>
            <w:tcW w:type="dxa" w:w="1638"/>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7"/>
                <w:szCs w:val="17"/>
              </w:rPr>
              <w:t xml:space="preserve">value used in run_combined.py</w:t>
            </w:r>
          </w:p>
        </w:tc>
      </w:tr>
      <w:tr>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7"/>
                <w:szCs w:val="17"/>
              </w:rPr>
              <w:t xml:space="preserve">Fresh water, fresh-water mud</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7"/>
                <w:szCs w:val="17"/>
              </w:rPr>
              <w:t xml:space="preserve">0</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7"/>
                <w:szCs w:val="17"/>
              </w:rPr>
              <w:t xml:space="preserve">0</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7"/>
                <w:szCs w:val="17"/>
              </w:rPr>
              <w:t xml:space="preserve">0</w:t>
            </w:r>
          </w:p>
        </w:tc>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7"/>
                <w:szCs w:val="17"/>
              </w:rPr>
              <w:t xml:space="preserve">0</w:t>
            </w:r>
          </w:p>
        </w:tc>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7"/>
                <w:szCs w:val="17"/>
              </w:rPr>
              <w:t xml:space="preserve"/>
            </w:r>
          </w:p>
        </w:tc>
      </w:tr>
      <w:tr>
        <w:tc>
          <w:tcPr>
            <w:tcW w:type="dxa" w:w="29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7"/>
                <w:szCs w:val="17"/>
              </w:rPr>
              <w:t xml:space="preserve">Seawater (35 g/kg NaCl)</w:t>
            </w:r>
          </w:p>
        </w:tc>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7"/>
                <w:szCs w:val="17"/>
              </w:rPr>
              <w:t xml:space="preserve">0.04</w:t>
            </w:r>
          </w:p>
        </w:tc>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7"/>
                <w:szCs w:val="17"/>
              </w:rPr>
              <w:t xml:space="preserve">0.003</w:t>
            </w:r>
          </w:p>
        </w:tc>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7"/>
                <w:szCs w:val="17"/>
              </w:rPr>
              <w:t xml:space="preserve">0</w:t>
            </w:r>
          </w:p>
        </w:tc>
        <w:tc>
          <w:tcPr>
            <w:tcW w:type="dxa" w:w="7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7"/>
                <w:szCs w:val="17"/>
              </w:rPr>
              <w:t xml:space="preserve">1</w:t>
            </w:r>
          </w:p>
        </w:tc>
        <w:tc>
          <w:tcPr>
            <w:tcW w:type="dxa" w:w="1638"/>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jc w:val="left"/>
            </w:pPr>
            <w:r>
              <w:rPr>
                <w:b w:val="false"/>
                <w:bCs w:val="false"/>
                <w:sz w:val="17"/>
                <w:szCs w:val="17"/>
              </w:rPr>
              <w:t xml:space="preserve">same GR effect as fresh water</w:t>
            </w:r>
          </w:p>
        </w:tc>
      </w:tr>
      <w:tr>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7"/>
                <w:szCs w:val="17"/>
              </w:rPr>
              <w:t xml:space="preserve">KCl mud (5 % KCl)</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7"/>
                <w:szCs w:val="17"/>
              </w:rPr>
              <w:t xml:space="preserve">2.6 (1–4)</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7"/>
                <w:szCs w:val="17"/>
              </w:rPr>
              <w:t xml:space="preserve">0</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7"/>
                <w:szCs w:val="17"/>
              </w:rPr>
              <w:t xml:space="preserve">0</w:t>
            </w:r>
          </w:p>
        </w:tc>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7"/>
                <w:szCs w:val="17"/>
              </w:rPr>
              <w:t xml:space="preserve">42</w:t>
            </w:r>
          </w:p>
        </w:tc>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b w:val="false"/>
                <w:bCs w:val="false"/>
                <w:sz w:val="17"/>
                <w:szCs w:val="17"/>
              </w:rPr>
              <w:t xml:space="preserve">potassium in the hole raises the GR</w:t>
            </w:r>
          </w:p>
        </w:tc>
      </w:tr>
    </w:tbl>
    <w:p>
      <w:pPr>
        <w:spacing w:after="200" w:before="80"/>
      </w:pPr>
      <w:r>
        <w:rPr>
          <w:i/>
          <w:iCs/>
          <w:color w:val="404040"/>
          <w:sz w:val="18"/>
          <w:szCs w:val="18"/>
        </w:rPr>
        <w:t xml:space="preserve">Table 7. Representative K, U and Th concentrations (per unit mass) and the corresponding API gamma ray. Compiled from IAEA-TECDOC-1363 (2003), Dickson &amp; Scott (1997), Ellis &amp; Singer (2007), Rider &amp; Kennedy (2011) and Serra (1984); values are rounded typical values, not measurements.</w:t>
      </w:r>
    </w:p>
    <w:p>
      <w:pPr>
        <w:spacing w:after="120" w:line="276"/>
      </w:pPr>
      <w:r>
        <w:rPr>
          <w:b/>
          <w:bCs/>
        </w:rPr>
        <w:t xml:space="preserve">Patterns worth remembering:</w:t>
      </w:r>
    </w:p>
    <w:p>
      <w:pPr>
        <w:pStyle w:val="ListParagraph"/>
        <w:numPr>
          <w:ilvl w:val="0"/>
          <w:numId w:val="7"/>
        </w:numPr>
        <w:spacing w:after="60"/>
      </w:pPr>
      <w:r>
        <w:t xml:space="preserve">Shales and clays are radioactive mainly because of K in illite and mica and Th adsorbed on clay minerals; this is why the GR log is used as a shale indicator.</w:t>
      </w:r>
    </w:p>
    <w:p>
      <w:pPr>
        <w:pStyle w:val="ListParagraph"/>
        <w:numPr>
          <w:ilvl w:val="0"/>
          <w:numId w:val="7"/>
        </w:numPr>
        <w:spacing w:after="60"/>
      </w:pPr>
      <w:r>
        <w:t xml:space="preserve">High GR does not always mean shale: arkose (K-feldspar), mica-rich sands, glauconite, heavy-mineral sands (Th) and phosphatic or organic-rich rocks (U) are ‘hot’ without being shaly. Spectral GR (separate K, U, Th) resolves this.</w:t>
      </w:r>
    </w:p>
    <w:p>
      <w:pPr>
        <w:pStyle w:val="ListParagraph"/>
        <w:numPr>
          <w:ilvl w:val="0"/>
          <w:numId w:val="7"/>
        </w:numPr>
        <w:spacing w:after="60"/>
      </w:pPr>
      <w:r>
        <w:t xml:space="preserve">Clean quartz sand, limestone, dolomite, evaporites and coal have low GR (&lt; 30 API).</w:t>
      </w:r>
    </w:p>
    <w:p>
      <w:pPr>
        <w:pStyle w:val="ListParagraph"/>
        <w:numPr>
          <w:ilvl w:val="0"/>
          <w:numId w:val="7"/>
        </w:numPr>
        <w:spacing w:after="60"/>
      </w:pPr>
      <w:r>
        <w:t xml:space="preserve">The Th/U ratio indicates the environment: about 3–7 in most clastic sediments, below 2 in reducing marine and organic-rich deposits (U enrichment), above 7 in strongly weathered or continental deposits.</w:t>
      </w:r>
    </w:p>
    <w:p>
      <w:pPr>
        <w:pStyle w:val="ListParagraph"/>
        <w:numPr>
          <w:ilvl w:val="0"/>
          <w:numId w:val="7"/>
        </w:numPr>
        <w:spacing w:after="60"/>
      </w:pPr>
      <w:r>
        <w:t xml:space="preserve">Water resistivity does not affect the gamma ray: salt changes resistivity a hundredfold but density by only a few percent. In a 0.2 m hole, fresh water and seawater both reduce the count rate to 0.767 ± 0.006 of the no-hole value; a 5 % KCl brine gives 0.920, because of its potassium.</w:t>
      </w:r>
    </w:p>
    <w:p>
      <w:pPr>
        <w:pStyle w:val="ListParagraph"/>
        <w:numPr>
          <w:ilvl w:val="0"/>
          <w:numId w:val="7"/>
        </w:numPr>
        <w:spacing w:after="60"/>
      </w:pPr>
      <w:r>
        <w:t xml:space="preserve">Bentonite grout and cement are moderately radioactive. In a clean formation they can raise the GR reading; in a shale they lower it. Drilling muds with KCl add potassium directly in the hole.</w:t>
      </w:r>
    </w:p>
    <w:p>
      <w:pPr>
        <w:pStyle w:val="Heading1"/>
      </w:pPr>
      <w:r>
        <w:t xml:space="preserve">12. References</w:t>
      </w:r>
    </w:p>
    <w:p>
      <w:pPr>
        <w:spacing w:after="80"/>
        <w:ind w:left="360" w:hanging="360"/>
      </w:pPr>
      <w:r>
        <w:t xml:space="preserve">Agostinelli, S. et al. (2003). Geant4 – a simulation toolkit. Nuclear Instruments and Methods in Physics Research A 506, 250–303.</w:t>
      </w:r>
    </w:p>
    <w:p>
      <w:pPr>
        <w:spacing w:after="80"/>
        <w:ind w:left="360" w:hanging="360"/>
      </w:pPr>
      <w:r>
        <w:t xml:space="preserve">Allison, J. et al. (2016). Recent developments in Geant4. Nuclear Instruments and Methods in Physics Research A 835, 186–225.</w:t>
      </w:r>
    </w:p>
    <w:p>
      <w:pPr>
        <w:spacing w:after="80"/>
        <w:ind w:left="360" w:hanging="360"/>
      </w:pPr>
      <w:r>
        <w:t xml:space="preserve">Dickson, B. L. and Scott, K. M. (1997). Interpretation of aerial gamma-ray surveys – adding the geochemical factors. AGSO Journal of Australian Geology and Geophysics 17(2), 187–200.</w:t>
      </w:r>
    </w:p>
    <w:p>
      <w:pPr>
        <w:spacing w:after="80"/>
        <w:ind w:left="360" w:hanging="360"/>
      </w:pPr>
      <w:r>
        <w:t xml:space="preserve">Ellis, D. V. and Singer, J. M. (2007). Well Logging for Earth Scientists, 2nd edition. Springer.</w:t>
      </w:r>
    </w:p>
    <w:p>
      <w:pPr>
        <w:spacing w:after="80"/>
        <w:ind w:left="360" w:hanging="360"/>
      </w:pPr>
      <w:r>
        <w:t xml:space="preserve">IAEA (2003). Guidelines for radioelement mapping using gamma ray spectrometry data. IAEA-TECDOC-1363, International Atomic Energy Agency, Vienna.</w:t>
      </w:r>
    </w:p>
    <w:p>
      <w:pPr>
        <w:spacing w:after="80"/>
        <w:ind w:left="360" w:hanging="360"/>
      </w:pPr>
      <w:r>
        <w:t xml:space="preserve">Rider, M. and Kennedy, M. (2011). The Geological Interpretation of Well Logs, 3rd edition. Rider-French Consulting.</w:t>
      </w:r>
    </w:p>
    <w:p>
      <w:pPr>
        <w:spacing w:after="80"/>
        <w:ind w:left="360" w:hanging="360"/>
      </w:pPr>
      <w:r>
        <w:t xml:space="preserve">Serra, O. (1984). Fundamentals of Well-Log Interpretation, Vol. 1: The Acquisition of Logging Data. Elsevier.</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Page </w:t>
    </w:r>
    <w:r>
      <w:rPr>
        <w:color w:val="7F7F7F"/>
        <w:sz w:val="18"/>
        <w:szCs w:val="18"/>
      </w:rPr>
      <w:fldChar w:fldCharType="begin"/>
    </w:r>
    <w:r>
      <w:rPr>
        <w:color w:val="7F7F7F"/>
        <w:sz w:val="18"/>
        <w:szCs w:val="18"/>
      </w:rPr>
      <w:instrText xml:space="preserve">PAGE</w:instrText>
    </w:r>
    <w:r>
      <w:rPr>
        <w:color w:val="7F7F7F"/>
        <w:sz w:val="18"/>
        <w:szCs w:val="18"/>
      </w:rPr>
      <w:fldChar w:fldCharType="separate"/>
    </w:r>
    <w:r>
      <w:rPr>
        <w:color w:val="7F7F7F"/>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7" w:hanging="360"/>
      </w:pPr>
    </w:lvl>
  </w:abstractNum>
  <w:abstractNum w:abstractNumId="3" w15:restartNumberingAfterBreak="0">
    <w:multiLevelType w:val="hybridMultilevel"/>
    <w:lvl w:ilvl="0" w:tentative="1">
      <w:start w:val="1"/>
      <w:numFmt w:val="decimal"/>
      <w:lvlText w:val="%1."/>
      <w:lvlJc w:val="left"/>
      <w:pPr>
        <w:ind w:left="567" w:hanging="360"/>
      </w:pPr>
    </w:lvl>
  </w:abstractNum>
  <w:abstractNum w:abstractNumId="4" w15:restartNumberingAfterBreak="0">
    <w:multiLevelType w:val="hybridMultilevel"/>
    <w:lvl w:ilvl="0" w:tentative="1">
      <w:start w:val="1"/>
      <w:numFmt w:val="decimal"/>
      <w:lvlText w:val="%1."/>
      <w:lvlJc w:val="left"/>
      <w:pPr>
        <w:ind w:left="567" w:hanging="360"/>
      </w:pPr>
    </w:lvl>
  </w:abstractNum>
  <w:abstractNum w:abstractNumId="5" w15:restartNumberingAfterBreak="0">
    <w:multiLevelType w:val="hybridMultilevel"/>
    <w:lvl w:ilvl="0" w:tentative="1">
      <w:start w:val="1"/>
      <w:numFmt w:val="decimal"/>
      <w:lvlText w:val="%1."/>
      <w:lvlJc w:val="left"/>
      <w:pPr>
        <w:ind w:left="567" w:hanging="360"/>
      </w:pPr>
    </w:lvl>
  </w:abstractNum>
  <w:abstractNum w:abstractNumId="6" w15:restartNumberingAfterBreak="0">
    <w:multiLevelType w:val="hybridMultilevel"/>
    <w:lvl w:ilvl="0" w:tentative="1">
      <w:start w:val="1"/>
      <w:numFmt w:val="decimal"/>
      <w:lvlText w:val="%1."/>
      <w:lvlJc w:val="left"/>
      <w:pPr>
        <w:ind w:left="567" w:hanging="360"/>
      </w:pPr>
    </w:lvl>
  </w:abstractNum>
  <w:abstractNum w:abstractNumId="7" w15:restartNumberingAfterBreak="0">
    <w:multiLevelType w:val="hybridMultilevel"/>
    <w:lvl w:ilvl="0" w:tentative="1">
      <w:start w:val="1"/>
      <w:numFmt w:val="decimal"/>
      <w:lvlText w:val="%1."/>
      <w:lvlJc w:val="left"/>
      <w:pPr>
        <w:ind w:left="567"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40" w:before="320"/>
      <w:outlineLvl w:val="0"/>
    </w:pPr>
    <w:rPr>
      <w:rFonts w:ascii="Arial" w:cs="Arial" w:eastAsia="Arial" w:hAnsi="Arial"/>
      <w:b/>
      <w:bCs/>
      <w:color w:val="1F4E79"/>
      <w:sz w:val="30"/>
      <w:szCs w:val="30"/>
    </w:rPr>
  </w:style>
  <w:style w:type="paragraph" w:styleId="Heading2">
    <w:name w:val="Heading 2"/>
    <w:basedOn w:val="Normal"/>
    <w:next w:val="Normal"/>
    <w:qFormat/>
    <w:pPr>
      <w:keepNext/>
      <w:keepLines/>
      <w:spacing w:after="100" w:before="220"/>
      <w:outlineLvl w:val="1"/>
    </w:pPr>
    <w:rPr>
      <w:rFonts w:ascii="Arial" w:cs="Arial" w:eastAsia="Arial" w:hAnsi="Arial"/>
      <w:b/>
      <w:bCs/>
      <w:color w:val="2E75B6"/>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79d96a7b8373d4a994facd20e186d596507b283f.png"/><Relationship Id="rId9" Type="http://schemas.openxmlformats.org/officeDocument/2006/relationships/image" Target="media/3675e3ba4a1abfd0abfccf2c2e0310d13045c20c.png"/><Relationship Id="rId10" Type="http://schemas.openxmlformats.org/officeDocument/2006/relationships/image" Target="media/0e8e7d6c355a85ce8bccf37222af5e50a11198e6.png"/><Relationship Id="rId11" Type="http://schemas.openxmlformats.org/officeDocument/2006/relationships/image" Target="media/c08f172921f534800e4264aa1ac0039fd3f2d53c.png"/><Relationship Id="rId12" Type="http://schemas.openxmlformats.org/officeDocument/2006/relationships/image" Target="media/464447bf8df0c5f2ad1176f478d4866212794cf0.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Natural Gamma-Ray Simulation with Geant4</dc:title>
  <dc:creator>PyBorehole</dc:creator>
  <cp:lastModifiedBy>Un-named</cp:lastModifiedBy>
  <cp:revision>1</cp:revision>
  <dcterms:created xsi:type="dcterms:W3CDTF">2026-10-19T10:47:45.102Z</dcterms:created>
  <dcterms:modified xsi:type="dcterms:W3CDTF">2026-10-19T10:47:45.103Z</dcterms:modified>
</cp:coreProperties>
</file>

<file path=docProps/custom.xml><?xml version="1.0" encoding="utf-8"?>
<Properties xmlns="http://schemas.openxmlformats.org/officeDocument/2006/custom-properties" xmlns:vt="http://schemas.openxmlformats.org/officeDocument/2006/docPropsVTypes"/>
</file>