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EE1ECA" w14:textId="77777777" w:rsidR="00917355" w:rsidRPr="00917355" w:rsidRDefault="00917355" w:rsidP="00917355">
      <w:pPr>
        <w:jc w:val="both"/>
        <w:rPr>
          <w:rFonts w:ascii="Calibri" w:hAnsi="Calibri" w:cs="Calibri"/>
          <w:b/>
          <w:bCs/>
          <w:lang w:val="en-US"/>
        </w:rPr>
      </w:pPr>
      <w:r w:rsidRPr="007B3522">
        <w:rPr>
          <w:rFonts w:ascii="Calibri" w:hAnsi="Calibri" w:cs="Calibri"/>
          <w:b/>
          <w:bCs/>
          <w:lang w:val="en-US"/>
        </w:rPr>
        <w:t>Mario Tamayo</w:t>
      </w:r>
    </w:p>
    <w:p w14:paraId="152006B9" w14:textId="77777777" w:rsidR="00917355" w:rsidRDefault="00917355" w:rsidP="00917355">
      <w:pPr>
        <w:jc w:val="both"/>
        <w:rPr>
          <w:rFonts w:ascii="Calibri" w:hAnsi="Calibri" w:cs="Calibri"/>
          <w:b/>
          <w:bCs/>
          <w:lang w:val="en-US"/>
        </w:rPr>
      </w:pPr>
      <w:r w:rsidRPr="007B3522">
        <w:rPr>
          <w:rFonts w:ascii="Calibri" w:hAnsi="Calibri" w:cs="Calibri"/>
          <w:b/>
          <w:bCs/>
          <w:lang w:val="en-US"/>
        </w:rPr>
        <w:t>Applied Quantitative Methods II</w:t>
      </w:r>
    </w:p>
    <w:p w14:paraId="1D21E148" w14:textId="7148DD00" w:rsidR="00060260" w:rsidRPr="00917355" w:rsidRDefault="00060260" w:rsidP="00917355">
      <w:pPr>
        <w:jc w:val="both"/>
        <w:rPr>
          <w:rFonts w:ascii="Calibri" w:hAnsi="Calibri" w:cs="Calibri"/>
          <w:b/>
          <w:bCs/>
          <w:lang w:val="en-US"/>
        </w:rPr>
      </w:pPr>
      <w:r>
        <w:rPr>
          <w:rFonts w:ascii="Calibri" w:hAnsi="Calibri" w:cs="Calibri"/>
          <w:b/>
          <w:bCs/>
          <w:lang w:val="en-US"/>
        </w:rPr>
        <w:t>Student’s feedback</w:t>
      </w:r>
    </w:p>
    <w:p w14:paraId="2FDB0171" w14:textId="77777777" w:rsidR="00917355" w:rsidRPr="00917355" w:rsidRDefault="00917355" w:rsidP="00917355">
      <w:pPr>
        <w:jc w:val="both"/>
        <w:rPr>
          <w:rFonts w:ascii="Calibri" w:hAnsi="Calibri" w:cs="Calibri"/>
          <w:b/>
          <w:bCs/>
          <w:lang w:val="en-US"/>
        </w:rPr>
      </w:pPr>
    </w:p>
    <w:p w14:paraId="7FD321C4" w14:textId="2C404351" w:rsidR="00917355" w:rsidRPr="00060260" w:rsidRDefault="00060260" w:rsidP="00060260">
      <w:pPr>
        <w:jc w:val="center"/>
        <w:rPr>
          <w:rFonts w:ascii="Calibri" w:hAnsi="Calibri" w:cs="Calibri"/>
          <w:b/>
          <w:bCs/>
          <w:i/>
          <w:iCs/>
          <w:lang w:val="en-US"/>
        </w:rPr>
      </w:pPr>
      <w:r w:rsidRPr="00060260">
        <w:rPr>
          <w:rFonts w:ascii="Calibri" w:hAnsi="Calibri" w:cs="Calibri"/>
          <w:b/>
          <w:bCs/>
          <w:i/>
          <w:iCs/>
          <w:lang w:val="en-US"/>
        </w:rPr>
        <w:t>Municipal administrative capacity and secondary school accessibility in Brazil</w:t>
      </w:r>
    </w:p>
    <w:p w14:paraId="263BABC0" w14:textId="77777777" w:rsidR="00060260" w:rsidRPr="00917355" w:rsidRDefault="00060260" w:rsidP="00917355">
      <w:pPr>
        <w:jc w:val="both"/>
        <w:rPr>
          <w:rFonts w:ascii="Calibri" w:hAnsi="Calibri" w:cs="Calibri"/>
          <w:b/>
          <w:bCs/>
          <w:lang w:val="en-US"/>
        </w:rPr>
      </w:pPr>
    </w:p>
    <w:p w14:paraId="69CEBB0F" w14:textId="30B12304" w:rsidR="00917355" w:rsidRPr="00190DE1" w:rsidRDefault="00190DE1" w:rsidP="00060260">
      <w:pPr>
        <w:jc w:val="both"/>
        <w:rPr>
          <w:rFonts w:ascii="Calibri" w:hAnsi="Calibri" w:cs="Calibri"/>
          <w:lang w:val="en-US"/>
        </w:rPr>
      </w:pPr>
      <w:r w:rsidRPr="00190DE1">
        <w:rPr>
          <w:rFonts w:ascii="Calibri" w:hAnsi="Calibri" w:cs="Calibri"/>
          <w:lang w:val="en-US"/>
        </w:rPr>
        <w:t>The paper proposal poses a clear and interesting research question whose relevance is readily apparent: whether municipal administrative capacity translates into more accessible secondary schooling in Brazil has broad implications for public administration, urban planning and, of course, education and development. The design is clean, the causal intuition is plausible, and the choice of Brazilian municipalities offers sufficient within-country variation to make the empirical exercise meaningful. The combination of georeferenced data with fiscal and administrative indicators is a genuine strength, and the explicit awareness of spatial clustering signals methodological care from the outset. That said, I would ask for clarification on a few points:</w:t>
      </w:r>
    </w:p>
    <w:p w14:paraId="52FFB3E8" w14:textId="77777777" w:rsidR="0035336D" w:rsidRDefault="0035336D" w:rsidP="00060260">
      <w:pPr>
        <w:jc w:val="both"/>
        <w:rPr>
          <w:rFonts w:ascii="Calibri" w:hAnsi="Calibri" w:cs="Calibri"/>
          <w:lang w:val="en-US"/>
        </w:rPr>
      </w:pPr>
    </w:p>
    <w:p w14:paraId="0DBC10EB" w14:textId="5A098B2C" w:rsidR="0035336D" w:rsidRDefault="0035336D" w:rsidP="00060260">
      <w:pPr>
        <w:jc w:val="both"/>
        <w:rPr>
          <w:rFonts w:ascii="Calibri" w:hAnsi="Calibri" w:cs="Calibri"/>
          <w:lang w:val="en-US"/>
        </w:rPr>
      </w:pPr>
      <w:r w:rsidRPr="0035336D">
        <w:rPr>
          <w:rFonts w:ascii="Calibri" w:hAnsi="Calibri" w:cs="Calibri"/>
          <w:b/>
          <w:bCs/>
          <w:lang w:val="en-US"/>
        </w:rPr>
        <w:t xml:space="preserve">First, on the </w:t>
      </w:r>
      <w:r w:rsidRPr="0035336D">
        <w:rPr>
          <w:rFonts w:ascii="Calibri" w:hAnsi="Calibri" w:cs="Calibri"/>
          <w:b/>
          <w:bCs/>
          <w:lang w:val="en-US"/>
        </w:rPr>
        <w:t>operationalization</w:t>
      </w:r>
      <w:r w:rsidRPr="0035336D">
        <w:rPr>
          <w:rFonts w:ascii="Calibri" w:hAnsi="Calibri" w:cs="Calibri"/>
          <w:b/>
          <w:bCs/>
          <w:lang w:val="en-US"/>
        </w:rPr>
        <w:t xml:space="preserve"> of </w:t>
      </w:r>
      <w:r>
        <w:rPr>
          <w:rFonts w:ascii="Calibri" w:hAnsi="Calibri" w:cs="Calibri"/>
          <w:b/>
          <w:bCs/>
          <w:lang w:val="en-US"/>
        </w:rPr>
        <w:t>“</w:t>
      </w:r>
      <w:r w:rsidRPr="0035336D">
        <w:rPr>
          <w:rFonts w:ascii="Calibri" w:hAnsi="Calibri" w:cs="Calibri"/>
          <w:b/>
          <w:bCs/>
          <w:lang w:val="en-US"/>
        </w:rPr>
        <w:t>administrative capacity</w:t>
      </w:r>
      <w:r>
        <w:rPr>
          <w:rFonts w:ascii="Calibri" w:hAnsi="Calibri" w:cs="Calibri"/>
          <w:b/>
          <w:bCs/>
          <w:lang w:val="en-US"/>
        </w:rPr>
        <w:t>”</w:t>
      </w:r>
      <w:r w:rsidRPr="0035336D">
        <w:rPr>
          <w:rFonts w:ascii="Calibri" w:hAnsi="Calibri" w:cs="Calibri"/>
          <w:b/>
          <w:bCs/>
          <w:lang w:val="en-US"/>
        </w:rPr>
        <w:t>.</w:t>
      </w:r>
      <w:r w:rsidRPr="0035336D">
        <w:rPr>
          <w:rFonts w:ascii="Calibri" w:hAnsi="Calibri" w:cs="Calibri"/>
          <w:lang w:val="en-US"/>
        </w:rPr>
        <w:t xml:space="preserve"> The proposal currently measures it through </w:t>
      </w:r>
      <w:r>
        <w:rPr>
          <w:rFonts w:ascii="Calibri" w:hAnsi="Calibri" w:cs="Calibri"/>
          <w:lang w:val="en-US"/>
        </w:rPr>
        <w:t>a myriad</w:t>
      </w:r>
      <w:r w:rsidRPr="0035336D">
        <w:rPr>
          <w:rFonts w:ascii="Calibri" w:hAnsi="Calibri" w:cs="Calibri"/>
          <w:lang w:val="en-US"/>
        </w:rPr>
        <w:t xml:space="preserve"> </w:t>
      </w:r>
      <w:r>
        <w:rPr>
          <w:rFonts w:ascii="Calibri" w:hAnsi="Calibri" w:cs="Calibri"/>
          <w:lang w:val="en-US"/>
        </w:rPr>
        <w:t>of</w:t>
      </w:r>
      <w:r w:rsidRPr="0035336D">
        <w:rPr>
          <w:rFonts w:ascii="Calibri" w:hAnsi="Calibri" w:cs="Calibri"/>
          <w:lang w:val="en-US"/>
        </w:rPr>
        <w:t xml:space="preserve"> fiscal indicators, </w:t>
      </w:r>
      <w:r>
        <w:rPr>
          <w:rFonts w:ascii="Calibri" w:hAnsi="Calibri" w:cs="Calibri"/>
          <w:lang w:val="en-US"/>
        </w:rPr>
        <w:t xml:space="preserve">which </w:t>
      </w:r>
      <w:r w:rsidRPr="0035336D">
        <w:rPr>
          <w:rFonts w:ascii="Calibri" w:hAnsi="Calibri" w:cs="Calibri"/>
          <w:lang w:val="en-US"/>
        </w:rPr>
        <w:t>arguably capture fiscal capacity rather than administrative capacity in the broader sense (managerial quality, personnel qualifications, procurement efficiency</w:t>
      </w:r>
      <w:r w:rsidR="00607907">
        <w:rPr>
          <w:rFonts w:ascii="Calibri" w:hAnsi="Calibri" w:cs="Calibri"/>
          <w:lang w:val="en-US"/>
        </w:rPr>
        <w:t>, etc.</w:t>
      </w:r>
      <w:r w:rsidRPr="0035336D">
        <w:rPr>
          <w:rFonts w:ascii="Calibri" w:hAnsi="Calibri" w:cs="Calibri"/>
          <w:lang w:val="en-US"/>
        </w:rPr>
        <w:t>). It would strengthen the construct validity of the study to complement the fiscal variables with at least one indicator of bureaucratic quality</w:t>
      </w:r>
      <w:r>
        <w:rPr>
          <w:rFonts w:ascii="Calibri" w:hAnsi="Calibri" w:cs="Calibri"/>
          <w:lang w:val="en-US"/>
        </w:rPr>
        <w:t xml:space="preserve">. </w:t>
      </w:r>
      <w:r w:rsidRPr="0035336D">
        <w:rPr>
          <w:rFonts w:ascii="Calibri" w:hAnsi="Calibri" w:cs="Calibri"/>
          <w:lang w:val="en-US"/>
        </w:rPr>
        <w:t xml:space="preserve">Without this, there is a risk that H1 is effectively testing </w:t>
      </w:r>
      <w:r>
        <w:rPr>
          <w:rFonts w:ascii="Calibri" w:hAnsi="Calibri" w:cs="Calibri"/>
          <w:lang w:val="en-US"/>
        </w:rPr>
        <w:t>“</w:t>
      </w:r>
      <w:r w:rsidRPr="0035336D">
        <w:rPr>
          <w:rFonts w:ascii="Calibri" w:hAnsi="Calibri" w:cs="Calibri"/>
          <w:lang w:val="en-US"/>
        </w:rPr>
        <w:t>richer municipalities have closer schools</w:t>
      </w:r>
      <w:r>
        <w:rPr>
          <w:rFonts w:ascii="Calibri" w:hAnsi="Calibri" w:cs="Calibri"/>
          <w:lang w:val="en-US"/>
        </w:rPr>
        <w:t>”</w:t>
      </w:r>
      <w:r w:rsidRPr="0035336D">
        <w:rPr>
          <w:rFonts w:ascii="Calibri" w:hAnsi="Calibri" w:cs="Calibri"/>
          <w:lang w:val="en-US"/>
        </w:rPr>
        <w:t>, which is closer to the confounder than to the hypothesis.</w:t>
      </w:r>
    </w:p>
    <w:p w14:paraId="462DDC9F" w14:textId="77777777" w:rsidR="0035336D" w:rsidRDefault="0035336D" w:rsidP="00060260">
      <w:pPr>
        <w:jc w:val="both"/>
        <w:rPr>
          <w:rFonts w:ascii="Calibri" w:hAnsi="Calibri" w:cs="Calibri"/>
          <w:lang w:val="en-US"/>
        </w:rPr>
      </w:pPr>
    </w:p>
    <w:p w14:paraId="72073485" w14:textId="03623C4A" w:rsidR="0035336D" w:rsidRDefault="0035336D" w:rsidP="0035336D">
      <w:pPr>
        <w:jc w:val="both"/>
        <w:rPr>
          <w:rFonts w:ascii="Calibri" w:hAnsi="Calibri" w:cs="Calibri"/>
          <w:lang w:val="en-US"/>
        </w:rPr>
      </w:pPr>
      <w:r w:rsidRPr="0035336D">
        <w:rPr>
          <w:rFonts w:ascii="Calibri" w:hAnsi="Calibri" w:cs="Calibri"/>
          <w:b/>
          <w:bCs/>
          <w:lang w:val="en-US"/>
        </w:rPr>
        <w:t>Second, on the causal interpretation.</w:t>
      </w:r>
      <w:r w:rsidRPr="0035336D">
        <w:rPr>
          <w:rFonts w:ascii="Calibri" w:hAnsi="Calibri" w:cs="Calibri"/>
          <w:lang w:val="en-US"/>
        </w:rPr>
        <w:t xml:space="preserve"> The proposal acknowledges confounding from wealth and population density and plans robustness checks via alternative OLS specifications. This is a reasonable starting point, but OLS with controls will likely not be enough to sustain a causal reading. I would encourage considering </w:t>
      </w:r>
      <w:r>
        <w:rPr>
          <w:rFonts w:ascii="Calibri" w:hAnsi="Calibri" w:cs="Calibri"/>
          <w:lang w:val="en-US"/>
        </w:rPr>
        <w:t>[1.]</w:t>
      </w:r>
      <w:r w:rsidRPr="0035336D">
        <w:rPr>
          <w:rFonts w:ascii="Calibri" w:hAnsi="Calibri" w:cs="Calibri"/>
          <w:lang w:val="en-US"/>
        </w:rPr>
        <w:t xml:space="preserve"> municipality fixed effects if a panel dimension is feasible, </w:t>
      </w:r>
      <w:r w:rsidR="00607907">
        <w:rPr>
          <w:rFonts w:ascii="Calibri" w:hAnsi="Calibri" w:cs="Calibri"/>
          <w:lang w:val="en-US"/>
        </w:rPr>
        <w:t>[2.]</w:t>
      </w:r>
      <w:r w:rsidR="00607907" w:rsidRPr="0035336D">
        <w:rPr>
          <w:rFonts w:ascii="Calibri" w:hAnsi="Calibri" w:cs="Calibri"/>
          <w:lang w:val="en-US"/>
        </w:rPr>
        <w:t xml:space="preserve"> </w:t>
      </w:r>
      <w:r w:rsidR="00607907" w:rsidRPr="00607907">
        <w:rPr>
          <w:rFonts w:ascii="Calibri" w:hAnsi="Calibri" w:cs="Calibri"/>
          <w:lang w:val="en-US"/>
        </w:rPr>
        <w:t>an instrumental variable strategy</w:t>
      </w:r>
      <w:r w:rsidR="00607907" w:rsidRPr="00607907">
        <w:rPr>
          <w:rFonts w:ascii="Calibri" w:hAnsi="Calibri" w:cs="Calibri"/>
          <w:lang w:val="en-US"/>
        </w:rPr>
        <w:t xml:space="preserve">, </w:t>
      </w:r>
      <w:r w:rsidRPr="0035336D">
        <w:rPr>
          <w:rFonts w:ascii="Calibri" w:hAnsi="Calibri" w:cs="Calibri"/>
          <w:lang w:val="en-US"/>
        </w:rPr>
        <w:t xml:space="preserve">or </w:t>
      </w:r>
      <w:r>
        <w:rPr>
          <w:rFonts w:ascii="Calibri" w:hAnsi="Calibri" w:cs="Calibri"/>
          <w:lang w:val="en-US"/>
        </w:rPr>
        <w:t>[</w:t>
      </w:r>
      <w:r w:rsidR="00607907">
        <w:rPr>
          <w:rFonts w:ascii="Calibri" w:hAnsi="Calibri" w:cs="Calibri"/>
          <w:lang w:val="en-US"/>
        </w:rPr>
        <w:t>3</w:t>
      </w:r>
      <w:r>
        <w:rPr>
          <w:rFonts w:ascii="Calibri" w:hAnsi="Calibri" w:cs="Calibri"/>
          <w:lang w:val="en-US"/>
        </w:rPr>
        <w:t>.]</w:t>
      </w:r>
      <w:r w:rsidRPr="0035336D">
        <w:rPr>
          <w:rFonts w:ascii="Calibri" w:hAnsi="Calibri" w:cs="Calibri"/>
          <w:lang w:val="en-US"/>
        </w:rPr>
        <w:t xml:space="preserve"> at minimum, a clear framing of the contribution as </w:t>
      </w:r>
      <w:r w:rsidRPr="0035336D">
        <w:rPr>
          <w:rFonts w:ascii="Calibri" w:hAnsi="Calibri" w:cs="Calibri"/>
          <w:i/>
          <w:iCs/>
          <w:lang w:val="en-US"/>
        </w:rPr>
        <w:t>associational</w:t>
      </w:r>
      <w:r w:rsidRPr="0035336D">
        <w:rPr>
          <w:rFonts w:ascii="Calibri" w:hAnsi="Calibri" w:cs="Calibri"/>
          <w:lang w:val="en-US"/>
        </w:rPr>
        <w:t xml:space="preserve"> rather than </w:t>
      </w:r>
      <w:r w:rsidRPr="0035336D">
        <w:rPr>
          <w:rFonts w:ascii="Calibri" w:hAnsi="Calibri" w:cs="Calibri"/>
          <w:i/>
          <w:iCs/>
          <w:lang w:val="en-US"/>
        </w:rPr>
        <w:t>causal</w:t>
      </w:r>
      <w:r w:rsidRPr="0035336D">
        <w:rPr>
          <w:rFonts w:ascii="Calibri" w:hAnsi="Calibri" w:cs="Calibri"/>
          <w:lang w:val="en-US"/>
        </w:rPr>
        <w:t>, to avoid overclaiming.</w:t>
      </w:r>
    </w:p>
    <w:p w14:paraId="6C08A606" w14:textId="77777777" w:rsidR="00607907" w:rsidRDefault="00607907" w:rsidP="0035336D">
      <w:pPr>
        <w:jc w:val="both"/>
        <w:rPr>
          <w:rFonts w:ascii="Calibri" w:hAnsi="Calibri" w:cs="Calibri"/>
          <w:lang w:val="en-US"/>
        </w:rPr>
      </w:pPr>
    </w:p>
    <w:p w14:paraId="0A881B28" w14:textId="4BA27BE6" w:rsidR="00607907" w:rsidRDefault="00607907" w:rsidP="00607907">
      <w:pPr>
        <w:jc w:val="both"/>
        <w:rPr>
          <w:rFonts w:ascii="Calibri" w:hAnsi="Calibri" w:cs="Calibri"/>
          <w:lang w:val="en-US"/>
        </w:rPr>
      </w:pPr>
      <w:r w:rsidRPr="00607907">
        <w:rPr>
          <w:rFonts w:ascii="Calibri" w:hAnsi="Calibri" w:cs="Calibri"/>
          <w:b/>
          <w:bCs/>
          <w:lang w:val="en-US"/>
        </w:rPr>
        <w:t>Third, on the outcome variable.</w:t>
      </w:r>
      <w:r w:rsidRPr="00607907">
        <w:rPr>
          <w:rFonts w:ascii="Calibri" w:hAnsi="Calibri" w:cs="Calibri"/>
          <w:lang w:val="en-US"/>
        </w:rPr>
        <w:t xml:space="preserve"> </w:t>
      </w:r>
      <w:r>
        <w:rPr>
          <w:rFonts w:ascii="Calibri" w:hAnsi="Calibri" w:cs="Calibri"/>
          <w:lang w:val="en-US"/>
        </w:rPr>
        <w:t>“</w:t>
      </w:r>
      <w:r w:rsidRPr="00607907">
        <w:rPr>
          <w:rFonts w:ascii="Calibri" w:hAnsi="Calibri" w:cs="Calibri"/>
          <w:lang w:val="en-US"/>
        </w:rPr>
        <w:t>Average distance from settlement centroid to the nearest secondary school</w:t>
      </w:r>
      <w:r>
        <w:rPr>
          <w:rFonts w:ascii="Calibri" w:hAnsi="Calibri" w:cs="Calibri"/>
          <w:lang w:val="en-US"/>
        </w:rPr>
        <w:t>”</w:t>
      </w:r>
      <w:r w:rsidRPr="00607907">
        <w:rPr>
          <w:rFonts w:ascii="Calibri" w:hAnsi="Calibri" w:cs="Calibri"/>
          <w:lang w:val="en-US"/>
        </w:rPr>
        <w:t xml:space="preserve"> is a sensible proxy, but it is silent on school quality and effective accessibility (transport infrastructure, terrain, river networks</w:t>
      </w:r>
      <w:r>
        <w:rPr>
          <w:rFonts w:ascii="Calibri" w:hAnsi="Calibri" w:cs="Calibri"/>
          <w:lang w:val="en-US"/>
        </w:rPr>
        <w:t>, etc.</w:t>
      </w:r>
      <w:r w:rsidRPr="00607907">
        <w:rPr>
          <w:rFonts w:ascii="Calibri" w:hAnsi="Calibri" w:cs="Calibri"/>
          <w:lang w:val="en-US"/>
        </w:rPr>
        <w:t>). A brief discussion of why physical distance is the most policy-relevant outcome</w:t>
      </w:r>
      <w:r>
        <w:rPr>
          <w:rFonts w:ascii="Calibri" w:hAnsi="Calibri" w:cs="Calibri"/>
          <w:lang w:val="en-US"/>
        </w:rPr>
        <w:t xml:space="preserve">, </w:t>
      </w:r>
      <w:r w:rsidRPr="00607907">
        <w:rPr>
          <w:rFonts w:ascii="Calibri" w:hAnsi="Calibri" w:cs="Calibri"/>
          <w:lang w:val="en-US"/>
        </w:rPr>
        <w:t>or</w:t>
      </w:r>
      <w:r>
        <w:rPr>
          <w:rFonts w:ascii="Calibri" w:hAnsi="Calibri" w:cs="Calibri"/>
          <w:lang w:val="en-US"/>
        </w:rPr>
        <w:t xml:space="preserve"> –ideally–</w:t>
      </w:r>
      <w:r w:rsidRPr="00607907">
        <w:rPr>
          <w:rFonts w:ascii="Calibri" w:hAnsi="Calibri" w:cs="Calibri"/>
          <w:lang w:val="en-US"/>
        </w:rPr>
        <w:t xml:space="preserve"> a supplementary analysis using travel time where feasible</w:t>
      </w:r>
      <w:r>
        <w:rPr>
          <w:rFonts w:ascii="Calibri" w:hAnsi="Calibri" w:cs="Calibri"/>
          <w:lang w:val="en-US"/>
        </w:rPr>
        <w:t>,</w:t>
      </w:r>
      <w:r w:rsidRPr="00607907">
        <w:rPr>
          <w:rFonts w:ascii="Calibri" w:hAnsi="Calibri" w:cs="Calibri"/>
          <w:lang w:val="en-US"/>
        </w:rPr>
        <w:t xml:space="preserve"> would pre-empt an obvious reviewer objection</w:t>
      </w:r>
      <w:r>
        <w:rPr>
          <w:rFonts w:ascii="Calibri" w:hAnsi="Calibri" w:cs="Calibri"/>
          <w:lang w:val="en-US"/>
        </w:rPr>
        <w:t xml:space="preserve"> and truly strengthen the overall analysis. </w:t>
      </w:r>
    </w:p>
    <w:p w14:paraId="1DA2B524" w14:textId="77777777" w:rsidR="00607907" w:rsidRPr="00607907" w:rsidRDefault="00607907" w:rsidP="00607907">
      <w:pPr>
        <w:jc w:val="both"/>
        <w:rPr>
          <w:rFonts w:ascii="Calibri" w:hAnsi="Calibri" w:cs="Calibri"/>
          <w:lang w:val="en-US"/>
        </w:rPr>
      </w:pPr>
    </w:p>
    <w:p w14:paraId="0D17B733" w14:textId="0010DD9C" w:rsidR="00607907" w:rsidRPr="0035336D" w:rsidRDefault="00607907" w:rsidP="00607907">
      <w:pPr>
        <w:jc w:val="both"/>
        <w:rPr>
          <w:rFonts w:ascii="Calibri" w:hAnsi="Calibri" w:cs="Calibri"/>
          <w:lang w:val="en-US"/>
        </w:rPr>
      </w:pPr>
      <w:r w:rsidRPr="00607907">
        <w:rPr>
          <w:rFonts w:ascii="Calibri" w:hAnsi="Calibri" w:cs="Calibri"/>
          <w:lang w:val="en-US"/>
        </w:rPr>
        <w:t xml:space="preserve">Overall, this is a well-scoped and empirically feasible project with a clear policy payoff. Tightening the </w:t>
      </w:r>
      <w:r w:rsidRPr="00607907">
        <w:rPr>
          <w:rFonts w:ascii="Calibri" w:hAnsi="Calibri" w:cs="Calibri"/>
          <w:lang w:val="en-US"/>
        </w:rPr>
        <w:t>conceptualization</w:t>
      </w:r>
      <w:r w:rsidRPr="00607907">
        <w:rPr>
          <w:rFonts w:ascii="Calibri" w:hAnsi="Calibri" w:cs="Calibri"/>
          <w:lang w:val="en-US"/>
        </w:rPr>
        <w:t xml:space="preserve"> of the key independent variable and being explicit about the causal claims would</w:t>
      </w:r>
      <w:r w:rsidR="00FD592B">
        <w:rPr>
          <w:rFonts w:ascii="Calibri" w:hAnsi="Calibri" w:cs="Calibri"/>
          <w:lang w:val="en-US"/>
        </w:rPr>
        <w:t xml:space="preserve"> just</w:t>
      </w:r>
      <w:r w:rsidRPr="00607907">
        <w:rPr>
          <w:rFonts w:ascii="Calibri" w:hAnsi="Calibri" w:cs="Calibri"/>
          <w:lang w:val="en-US"/>
        </w:rPr>
        <w:t xml:space="preserve"> </w:t>
      </w:r>
      <w:r w:rsidR="00910E7D">
        <w:rPr>
          <w:rFonts w:ascii="Calibri" w:hAnsi="Calibri" w:cs="Calibri"/>
          <w:lang w:val="en-US"/>
        </w:rPr>
        <w:t xml:space="preserve">(hopefully) </w:t>
      </w:r>
      <w:r w:rsidRPr="00607907">
        <w:rPr>
          <w:rFonts w:ascii="Calibri" w:hAnsi="Calibri" w:cs="Calibri"/>
          <w:lang w:val="en-US"/>
        </w:rPr>
        <w:t xml:space="preserve">raise </w:t>
      </w:r>
      <w:r w:rsidR="00FD592B">
        <w:rPr>
          <w:rFonts w:ascii="Calibri" w:hAnsi="Calibri" w:cs="Calibri"/>
          <w:lang w:val="en-US"/>
        </w:rPr>
        <w:t>its</w:t>
      </w:r>
      <w:r w:rsidRPr="00607907">
        <w:rPr>
          <w:rFonts w:ascii="Calibri" w:hAnsi="Calibri" w:cs="Calibri"/>
          <w:lang w:val="en-US"/>
        </w:rPr>
        <w:t xml:space="preserve"> contribution.</w:t>
      </w:r>
      <w:r w:rsidR="00910E7D">
        <w:rPr>
          <w:rFonts w:ascii="Calibri" w:hAnsi="Calibri" w:cs="Calibri"/>
          <w:lang w:val="en-US"/>
        </w:rPr>
        <w:t xml:space="preserve"> Congratulations!</w:t>
      </w:r>
    </w:p>
    <w:p w14:paraId="03AF0DD1" w14:textId="77777777" w:rsidR="0035336D" w:rsidRPr="0035336D" w:rsidRDefault="0035336D" w:rsidP="00060260">
      <w:pPr>
        <w:jc w:val="both"/>
        <w:rPr>
          <w:rFonts w:ascii="Calibri" w:hAnsi="Calibri" w:cs="Calibri"/>
          <w:lang w:val="en-US"/>
        </w:rPr>
      </w:pPr>
    </w:p>
    <w:p w14:paraId="616E208B" w14:textId="77777777" w:rsidR="0035336D" w:rsidRDefault="0035336D" w:rsidP="00060260">
      <w:pPr>
        <w:jc w:val="both"/>
        <w:rPr>
          <w:rFonts w:ascii="Calibri" w:hAnsi="Calibri" w:cs="Calibri"/>
          <w:lang w:val="en-US"/>
        </w:rPr>
      </w:pPr>
    </w:p>
    <w:p w14:paraId="27BED72F" w14:textId="77777777" w:rsidR="0035336D" w:rsidRPr="00917355" w:rsidRDefault="0035336D" w:rsidP="00060260">
      <w:pPr>
        <w:jc w:val="both"/>
        <w:rPr>
          <w:rFonts w:ascii="Calibri" w:hAnsi="Calibri" w:cs="Calibri"/>
          <w:lang w:val="en-US"/>
        </w:rPr>
      </w:pPr>
    </w:p>
    <w:p w14:paraId="3AEB29C8" w14:textId="77777777" w:rsidR="00917355" w:rsidRPr="00917355" w:rsidRDefault="00917355" w:rsidP="00917355">
      <w:pPr>
        <w:jc w:val="both"/>
        <w:rPr>
          <w:rFonts w:ascii="Calibri" w:hAnsi="Calibri" w:cs="Calibri"/>
          <w:b/>
          <w:bCs/>
          <w:lang w:val="en-US"/>
        </w:rPr>
      </w:pPr>
    </w:p>
    <w:p w14:paraId="556B5BEA" w14:textId="77777777" w:rsidR="00260F86" w:rsidRPr="00060260" w:rsidRDefault="00260F86" w:rsidP="00917355">
      <w:pPr>
        <w:rPr>
          <w:lang w:val="en-US"/>
        </w:rPr>
      </w:pPr>
    </w:p>
    <w:sectPr w:rsidR="00260F86" w:rsidRPr="00060260" w:rsidSect="00AB682C">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890E833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F886D46"/>
    <w:multiLevelType w:val="hybridMultilevel"/>
    <w:tmpl w:val="F202C964"/>
    <w:lvl w:ilvl="0" w:tplc="040A0001">
      <w:start w:val="1"/>
      <w:numFmt w:val="bullet"/>
      <w:lvlText w:val=""/>
      <w:lvlJc w:val="left"/>
      <w:pPr>
        <w:ind w:left="720" w:hanging="360"/>
      </w:pPr>
      <w:rPr>
        <w:rFonts w:ascii="Symbol" w:hAnsi="Symbol" w:hint="default"/>
        <w:b/>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331160F8"/>
    <w:multiLevelType w:val="hybridMultilevel"/>
    <w:tmpl w:val="D5E42060"/>
    <w:lvl w:ilvl="0" w:tplc="AE5A5DAA">
      <w:start w:val="2"/>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41F50793"/>
    <w:multiLevelType w:val="hybridMultilevel"/>
    <w:tmpl w:val="10BE8C08"/>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 w15:restartNumberingAfterBreak="0">
    <w:nsid w:val="4FF76DD1"/>
    <w:multiLevelType w:val="hybridMultilevel"/>
    <w:tmpl w:val="6CA8E488"/>
    <w:lvl w:ilvl="0" w:tplc="0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04D61A1"/>
    <w:multiLevelType w:val="hybridMultilevel"/>
    <w:tmpl w:val="349A69A6"/>
    <w:lvl w:ilvl="0" w:tplc="0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6BD172C4"/>
    <w:multiLevelType w:val="hybridMultilevel"/>
    <w:tmpl w:val="BA20D24E"/>
    <w:lvl w:ilvl="0" w:tplc="57B4FD02">
      <w:start w:val="2"/>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761D0F15"/>
    <w:multiLevelType w:val="hybridMultilevel"/>
    <w:tmpl w:val="58B44EB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2098866078">
    <w:abstractNumId w:val="3"/>
  </w:num>
  <w:num w:numId="2" w16cid:durableId="127478528">
    <w:abstractNumId w:val="2"/>
  </w:num>
  <w:num w:numId="3" w16cid:durableId="626081740">
    <w:abstractNumId w:val="6"/>
  </w:num>
  <w:num w:numId="4" w16cid:durableId="1174608215">
    <w:abstractNumId w:val="0"/>
  </w:num>
  <w:num w:numId="5" w16cid:durableId="1040595939">
    <w:abstractNumId w:val="4"/>
  </w:num>
  <w:num w:numId="6" w16cid:durableId="819930016">
    <w:abstractNumId w:val="5"/>
  </w:num>
  <w:num w:numId="7" w16cid:durableId="1295214866">
    <w:abstractNumId w:val="1"/>
  </w:num>
  <w:num w:numId="8" w16cid:durableId="15067051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8"/>
  <w:proofState w:spelling="clean" w:grammar="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522"/>
    <w:rsid w:val="00060260"/>
    <w:rsid w:val="00065F67"/>
    <w:rsid w:val="00190DE1"/>
    <w:rsid w:val="001A3172"/>
    <w:rsid w:val="00220E9A"/>
    <w:rsid w:val="00260F86"/>
    <w:rsid w:val="0035336D"/>
    <w:rsid w:val="004552D5"/>
    <w:rsid w:val="004C1850"/>
    <w:rsid w:val="004E5354"/>
    <w:rsid w:val="00607907"/>
    <w:rsid w:val="00617648"/>
    <w:rsid w:val="0070115A"/>
    <w:rsid w:val="00705DAC"/>
    <w:rsid w:val="007B3522"/>
    <w:rsid w:val="00910E7D"/>
    <w:rsid w:val="00917355"/>
    <w:rsid w:val="00A47943"/>
    <w:rsid w:val="00AB0702"/>
    <w:rsid w:val="00AB682C"/>
    <w:rsid w:val="00D271FE"/>
    <w:rsid w:val="00D42BC9"/>
    <w:rsid w:val="00F75763"/>
    <w:rsid w:val="00FD592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605CF484"/>
  <w15:chartTrackingRefBased/>
  <w15:docId w15:val="{2E54411F-157C-D641-9697-A943DEA02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B35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B35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B352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7B352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B352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B3522"/>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B3522"/>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B3522"/>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B3522"/>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B352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B352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7B352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7B352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B352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B352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B352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B352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B3522"/>
    <w:rPr>
      <w:rFonts w:eastAsiaTheme="majorEastAsia" w:cstheme="majorBidi"/>
      <w:color w:val="272727" w:themeColor="text1" w:themeTint="D8"/>
    </w:rPr>
  </w:style>
  <w:style w:type="paragraph" w:styleId="Ttulo">
    <w:name w:val="Title"/>
    <w:basedOn w:val="Normal"/>
    <w:next w:val="Normal"/>
    <w:link w:val="TtuloCar"/>
    <w:uiPriority w:val="10"/>
    <w:qFormat/>
    <w:rsid w:val="007B3522"/>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B352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B3522"/>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B352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B3522"/>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7B3522"/>
    <w:rPr>
      <w:i/>
      <w:iCs/>
      <w:color w:val="404040" w:themeColor="text1" w:themeTint="BF"/>
    </w:rPr>
  </w:style>
  <w:style w:type="paragraph" w:styleId="Prrafodelista">
    <w:name w:val="List Paragraph"/>
    <w:basedOn w:val="Normal"/>
    <w:uiPriority w:val="34"/>
    <w:qFormat/>
    <w:rsid w:val="007B3522"/>
    <w:pPr>
      <w:ind w:left="720"/>
      <w:contextualSpacing/>
    </w:pPr>
  </w:style>
  <w:style w:type="character" w:styleId="nfasisintenso">
    <w:name w:val="Intense Emphasis"/>
    <w:basedOn w:val="Fuentedeprrafopredeter"/>
    <w:uiPriority w:val="21"/>
    <w:qFormat/>
    <w:rsid w:val="007B3522"/>
    <w:rPr>
      <w:i/>
      <w:iCs/>
      <w:color w:val="0F4761" w:themeColor="accent1" w:themeShade="BF"/>
    </w:rPr>
  </w:style>
  <w:style w:type="paragraph" w:styleId="Citadestacada">
    <w:name w:val="Intense Quote"/>
    <w:basedOn w:val="Normal"/>
    <w:next w:val="Normal"/>
    <w:link w:val="CitadestacadaCar"/>
    <w:uiPriority w:val="30"/>
    <w:qFormat/>
    <w:rsid w:val="007B35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B3522"/>
    <w:rPr>
      <w:i/>
      <w:iCs/>
      <w:color w:val="0F4761" w:themeColor="accent1" w:themeShade="BF"/>
    </w:rPr>
  </w:style>
  <w:style w:type="character" w:styleId="Referenciaintensa">
    <w:name w:val="Intense Reference"/>
    <w:basedOn w:val="Fuentedeprrafopredeter"/>
    <w:uiPriority w:val="32"/>
    <w:qFormat/>
    <w:rsid w:val="007B3522"/>
    <w:rPr>
      <w:b/>
      <w:bCs/>
      <w:smallCaps/>
      <w:color w:val="0F4761" w:themeColor="accent1" w:themeShade="BF"/>
      <w:spacing w:val="5"/>
    </w:rPr>
  </w:style>
  <w:style w:type="character" w:styleId="Hipervnculo">
    <w:name w:val="Hyperlink"/>
    <w:basedOn w:val="Fuentedeprrafopredeter"/>
    <w:uiPriority w:val="99"/>
    <w:unhideWhenUsed/>
    <w:rsid w:val="007B3522"/>
    <w:rPr>
      <w:color w:val="467886" w:themeColor="hyperlink"/>
      <w:u w:val="single"/>
    </w:rPr>
  </w:style>
  <w:style w:type="character" w:styleId="Mencinsinresolver">
    <w:name w:val="Unresolved Mention"/>
    <w:basedOn w:val="Fuentedeprrafopredeter"/>
    <w:uiPriority w:val="99"/>
    <w:semiHidden/>
    <w:unhideWhenUsed/>
    <w:rsid w:val="007B3522"/>
    <w:rPr>
      <w:color w:val="605E5C"/>
      <w:shd w:val="clear" w:color="auto" w:fill="E1DFDD"/>
    </w:rPr>
  </w:style>
  <w:style w:type="paragraph" w:styleId="Listaconvietas">
    <w:name w:val="List Bullet"/>
    <w:basedOn w:val="Normal"/>
    <w:uiPriority w:val="99"/>
    <w:unhideWhenUsed/>
    <w:rsid w:val="00617648"/>
    <w:pPr>
      <w:numPr>
        <w:numId w:val="4"/>
      </w:numPr>
      <w:spacing w:after="200" w:line="276" w:lineRule="auto"/>
      <w:contextualSpacing/>
    </w:pPr>
    <w:rPr>
      <w:rFonts w:eastAsiaTheme="minorEastAsia"/>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388335">
      <w:bodyDiv w:val="1"/>
      <w:marLeft w:val="0"/>
      <w:marRight w:val="0"/>
      <w:marTop w:val="0"/>
      <w:marBottom w:val="0"/>
      <w:divBdr>
        <w:top w:val="none" w:sz="0" w:space="0" w:color="auto"/>
        <w:left w:val="none" w:sz="0" w:space="0" w:color="auto"/>
        <w:bottom w:val="none" w:sz="0" w:space="0" w:color="auto"/>
        <w:right w:val="none" w:sz="0" w:space="0" w:color="auto"/>
      </w:divBdr>
    </w:div>
    <w:div w:id="233128549">
      <w:bodyDiv w:val="1"/>
      <w:marLeft w:val="0"/>
      <w:marRight w:val="0"/>
      <w:marTop w:val="0"/>
      <w:marBottom w:val="0"/>
      <w:divBdr>
        <w:top w:val="none" w:sz="0" w:space="0" w:color="auto"/>
        <w:left w:val="none" w:sz="0" w:space="0" w:color="auto"/>
        <w:bottom w:val="none" w:sz="0" w:space="0" w:color="auto"/>
        <w:right w:val="none" w:sz="0" w:space="0" w:color="auto"/>
      </w:divBdr>
    </w:div>
    <w:div w:id="250435763">
      <w:bodyDiv w:val="1"/>
      <w:marLeft w:val="0"/>
      <w:marRight w:val="0"/>
      <w:marTop w:val="0"/>
      <w:marBottom w:val="0"/>
      <w:divBdr>
        <w:top w:val="none" w:sz="0" w:space="0" w:color="auto"/>
        <w:left w:val="none" w:sz="0" w:space="0" w:color="auto"/>
        <w:bottom w:val="none" w:sz="0" w:space="0" w:color="auto"/>
        <w:right w:val="none" w:sz="0" w:space="0" w:color="auto"/>
      </w:divBdr>
    </w:div>
    <w:div w:id="360937663">
      <w:bodyDiv w:val="1"/>
      <w:marLeft w:val="0"/>
      <w:marRight w:val="0"/>
      <w:marTop w:val="0"/>
      <w:marBottom w:val="0"/>
      <w:divBdr>
        <w:top w:val="none" w:sz="0" w:space="0" w:color="auto"/>
        <w:left w:val="none" w:sz="0" w:space="0" w:color="auto"/>
        <w:bottom w:val="none" w:sz="0" w:space="0" w:color="auto"/>
        <w:right w:val="none" w:sz="0" w:space="0" w:color="auto"/>
      </w:divBdr>
    </w:div>
    <w:div w:id="418871467">
      <w:bodyDiv w:val="1"/>
      <w:marLeft w:val="0"/>
      <w:marRight w:val="0"/>
      <w:marTop w:val="0"/>
      <w:marBottom w:val="0"/>
      <w:divBdr>
        <w:top w:val="none" w:sz="0" w:space="0" w:color="auto"/>
        <w:left w:val="none" w:sz="0" w:space="0" w:color="auto"/>
        <w:bottom w:val="none" w:sz="0" w:space="0" w:color="auto"/>
        <w:right w:val="none" w:sz="0" w:space="0" w:color="auto"/>
      </w:divBdr>
    </w:div>
    <w:div w:id="431901830">
      <w:bodyDiv w:val="1"/>
      <w:marLeft w:val="0"/>
      <w:marRight w:val="0"/>
      <w:marTop w:val="0"/>
      <w:marBottom w:val="0"/>
      <w:divBdr>
        <w:top w:val="none" w:sz="0" w:space="0" w:color="auto"/>
        <w:left w:val="none" w:sz="0" w:space="0" w:color="auto"/>
        <w:bottom w:val="none" w:sz="0" w:space="0" w:color="auto"/>
        <w:right w:val="none" w:sz="0" w:space="0" w:color="auto"/>
      </w:divBdr>
    </w:div>
    <w:div w:id="505440319">
      <w:bodyDiv w:val="1"/>
      <w:marLeft w:val="0"/>
      <w:marRight w:val="0"/>
      <w:marTop w:val="0"/>
      <w:marBottom w:val="0"/>
      <w:divBdr>
        <w:top w:val="none" w:sz="0" w:space="0" w:color="auto"/>
        <w:left w:val="none" w:sz="0" w:space="0" w:color="auto"/>
        <w:bottom w:val="none" w:sz="0" w:space="0" w:color="auto"/>
        <w:right w:val="none" w:sz="0" w:space="0" w:color="auto"/>
      </w:divBdr>
    </w:div>
    <w:div w:id="555169313">
      <w:bodyDiv w:val="1"/>
      <w:marLeft w:val="0"/>
      <w:marRight w:val="0"/>
      <w:marTop w:val="0"/>
      <w:marBottom w:val="0"/>
      <w:divBdr>
        <w:top w:val="none" w:sz="0" w:space="0" w:color="auto"/>
        <w:left w:val="none" w:sz="0" w:space="0" w:color="auto"/>
        <w:bottom w:val="none" w:sz="0" w:space="0" w:color="auto"/>
        <w:right w:val="none" w:sz="0" w:space="0" w:color="auto"/>
      </w:divBdr>
    </w:div>
    <w:div w:id="763496248">
      <w:bodyDiv w:val="1"/>
      <w:marLeft w:val="0"/>
      <w:marRight w:val="0"/>
      <w:marTop w:val="0"/>
      <w:marBottom w:val="0"/>
      <w:divBdr>
        <w:top w:val="none" w:sz="0" w:space="0" w:color="auto"/>
        <w:left w:val="none" w:sz="0" w:space="0" w:color="auto"/>
        <w:bottom w:val="none" w:sz="0" w:space="0" w:color="auto"/>
        <w:right w:val="none" w:sz="0" w:space="0" w:color="auto"/>
      </w:divBdr>
    </w:div>
    <w:div w:id="768769184">
      <w:bodyDiv w:val="1"/>
      <w:marLeft w:val="0"/>
      <w:marRight w:val="0"/>
      <w:marTop w:val="0"/>
      <w:marBottom w:val="0"/>
      <w:divBdr>
        <w:top w:val="none" w:sz="0" w:space="0" w:color="auto"/>
        <w:left w:val="none" w:sz="0" w:space="0" w:color="auto"/>
        <w:bottom w:val="none" w:sz="0" w:space="0" w:color="auto"/>
        <w:right w:val="none" w:sz="0" w:space="0" w:color="auto"/>
      </w:divBdr>
    </w:div>
    <w:div w:id="966160195">
      <w:bodyDiv w:val="1"/>
      <w:marLeft w:val="0"/>
      <w:marRight w:val="0"/>
      <w:marTop w:val="0"/>
      <w:marBottom w:val="0"/>
      <w:divBdr>
        <w:top w:val="none" w:sz="0" w:space="0" w:color="auto"/>
        <w:left w:val="none" w:sz="0" w:space="0" w:color="auto"/>
        <w:bottom w:val="none" w:sz="0" w:space="0" w:color="auto"/>
        <w:right w:val="none" w:sz="0" w:space="0" w:color="auto"/>
      </w:divBdr>
    </w:div>
    <w:div w:id="1016422507">
      <w:bodyDiv w:val="1"/>
      <w:marLeft w:val="0"/>
      <w:marRight w:val="0"/>
      <w:marTop w:val="0"/>
      <w:marBottom w:val="0"/>
      <w:divBdr>
        <w:top w:val="none" w:sz="0" w:space="0" w:color="auto"/>
        <w:left w:val="none" w:sz="0" w:space="0" w:color="auto"/>
        <w:bottom w:val="none" w:sz="0" w:space="0" w:color="auto"/>
        <w:right w:val="none" w:sz="0" w:space="0" w:color="auto"/>
      </w:divBdr>
    </w:div>
    <w:div w:id="1072580963">
      <w:bodyDiv w:val="1"/>
      <w:marLeft w:val="0"/>
      <w:marRight w:val="0"/>
      <w:marTop w:val="0"/>
      <w:marBottom w:val="0"/>
      <w:divBdr>
        <w:top w:val="none" w:sz="0" w:space="0" w:color="auto"/>
        <w:left w:val="none" w:sz="0" w:space="0" w:color="auto"/>
        <w:bottom w:val="none" w:sz="0" w:space="0" w:color="auto"/>
        <w:right w:val="none" w:sz="0" w:space="0" w:color="auto"/>
      </w:divBdr>
    </w:div>
    <w:div w:id="1190533258">
      <w:bodyDiv w:val="1"/>
      <w:marLeft w:val="0"/>
      <w:marRight w:val="0"/>
      <w:marTop w:val="0"/>
      <w:marBottom w:val="0"/>
      <w:divBdr>
        <w:top w:val="none" w:sz="0" w:space="0" w:color="auto"/>
        <w:left w:val="none" w:sz="0" w:space="0" w:color="auto"/>
        <w:bottom w:val="none" w:sz="0" w:space="0" w:color="auto"/>
        <w:right w:val="none" w:sz="0" w:space="0" w:color="auto"/>
      </w:divBdr>
    </w:div>
    <w:div w:id="1243031870">
      <w:bodyDiv w:val="1"/>
      <w:marLeft w:val="0"/>
      <w:marRight w:val="0"/>
      <w:marTop w:val="0"/>
      <w:marBottom w:val="0"/>
      <w:divBdr>
        <w:top w:val="none" w:sz="0" w:space="0" w:color="auto"/>
        <w:left w:val="none" w:sz="0" w:space="0" w:color="auto"/>
        <w:bottom w:val="none" w:sz="0" w:space="0" w:color="auto"/>
        <w:right w:val="none" w:sz="0" w:space="0" w:color="auto"/>
      </w:divBdr>
    </w:div>
    <w:div w:id="1254819610">
      <w:bodyDiv w:val="1"/>
      <w:marLeft w:val="0"/>
      <w:marRight w:val="0"/>
      <w:marTop w:val="0"/>
      <w:marBottom w:val="0"/>
      <w:divBdr>
        <w:top w:val="none" w:sz="0" w:space="0" w:color="auto"/>
        <w:left w:val="none" w:sz="0" w:space="0" w:color="auto"/>
        <w:bottom w:val="none" w:sz="0" w:space="0" w:color="auto"/>
        <w:right w:val="none" w:sz="0" w:space="0" w:color="auto"/>
      </w:divBdr>
    </w:div>
    <w:div w:id="1334988522">
      <w:bodyDiv w:val="1"/>
      <w:marLeft w:val="0"/>
      <w:marRight w:val="0"/>
      <w:marTop w:val="0"/>
      <w:marBottom w:val="0"/>
      <w:divBdr>
        <w:top w:val="none" w:sz="0" w:space="0" w:color="auto"/>
        <w:left w:val="none" w:sz="0" w:space="0" w:color="auto"/>
        <w:bottom w:val="none" w:sz="0" w:space="0" w:color="auto"/>
        <w:right w:val="none" w:sz="0" w:space="0" w:color="auto"/>
      </w:divBdr>
    </w:div>
    <w:div w:id="1402677515">
      <w:bodyDiv w:val="1"/>
      <w:marLeft w:val="0"/>
      <w:marRight w:val="0"/>
      <w:marTop w:val="0"/>
      <w:marBottom w:val="0"/>
      <w:divBdr>
        <w:top w:val="none" w:sz="0" w:space="0" w:color="auto"/>
        <w:left w:val="none" w:sz="0" w:space="0" w:color="auto"/>
        <w:bottom w:val="none" w:sz="0" w:space="0" w:color="auto"/>
        <w:right w:val="none" w:sz="0" w:space="0" w:color="auto"/>
      </w:divBdr>
    </w:div>
    <w:div w:id="1504666395">
      <w:bodyDiv w:val="1"/>
      <w:marLeft w:val="0"/>
      <w:marRight w:val="0"/>
      <w:marTop w:val="0"/>
      <w:marBottom w:val="0"/>
      <w:divBdr>
        <w:top w:val="none" w:sz="0" w:space="0" w:color="auto"/>
        <w:left w:val="none" w:sz="0" w:space="0" w:color="auto"/>
        <w:bottom w:val="none" w:sz="0" w:space="0" w:color="auto"/>
        <w:right w:val="none" w:sz="0" w:space="0" w:color="auto"/>
      </w:divBdr>
    </w:div>
    <w:div w:id="1680962381">
      <w:bodyDiv w:val="1"/>
      <w:marLeft w:val="0"/>
      <w:marRight w:val="0"/>
      <w:marTop w:val="0"/>
      <w:marBottom w:val="0"/>
      <w:divBdr>
        <w:top w:val="none" w:sz="0" w:space="0" w:color="auto"/>
        <w:left w:val="none" w:sz="0" w:space="0" w:color="auto"/>
        <w:bottom w:val="none" w:sz="0" w:space="0" w:color="auto"/>
        <w:right w:val="none" w:sz="0" w:space="0" w:color="auto"/>
      </w:divBdr>
    </w:div>
    <w:div w:id="1807433769">
      <w:bodyDiv w:val="1"/>
      <w:marLeft w:val="0"/>
      <w:marRight w:val="0"/>
      <w:marTop w:val="0"/>
      <w:marBottom w:val="0"/>
      <w:divBdr>
        <w:top w:val="none" w:sz="0" w:space="0" w:color="auto"/>
        <w:left w:val="none" w:sz="0" w:space="0" w:color="auto"/>
        <w:bottom w:val="none" w:sz="0" w:space="0" w:color="auto"/>
        <w:right w:val="none" w:sz="0" w:space="0" w:color="auto"/>
      </w:divBdr>
    </w:div>
    <w:div w:id="1943953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434</Words>
  <Characters>2393</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Tamayo Sanz</dc:creator>
  <cp:keywords/>
  <dc:description/>
  <cp:lastModifiedBy>Mario Tamayo Sanz</cp:lastModifiedBy>
  <cp:revision>3</cp:revision>
  <cp:lastPrinted>2026-04-21T09:48:00Z</cp:lastPrinted>
  <dcterms:created xsi:type="dcterms:W3CDTF">2026-04-21T09:48:00Z</dcterms:created>
  <dcterms:modified xsi:type="dcterms:W3CDTF">2026-04-21T09:53:00Z</dcterms:modified>
</cp:coreProperties>
</file>