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E1ECA" w14:textId="77777777" w:rsidR="00917355" w:rsidRPr="00917355" w:rsidRDefault="00917355" w:rsidP="00917355">
      <w:pPr>
        <w:jc w:val="both"/>
        <w:rPr>
          <w:rFonts w:ascii="Calibri" w:hAnsi="Calibri" w:cs="Calibri"/>
          <w:b/>
          <w:bCs/>
          <w:lang w:val="en-US"/>
        </w:rPr>
      </w:pPr>
      <w:r w:rsidRPr="007B3522">
        <w:rPr>
          <w:rFonts w:ascii="Calibri" w:hAnsi="Calibri" w:cs="Calibri"/>
          <w:b/>
          <w:bCs/>
          <w:lang w:val="en-US"/>
        </w:rPr>
        <w:t>Mario Tamayo</w:t>
      </w:r>
    </w:p>
    <w:p w14:paraId="152006B9" w14:textId="77777777" w:rsidR="00917355" w:rsidRPr="00917355" w:rsidRDefault="00917355" w:rsidP="00917355">
      <w:pPr>
        <w:jc w:val="both"/>
        <w:rPr>
          <w:rFonts w:ascii="Calibri" w:hAnsi="Calibri" w:cs="Calibri"/>
          <w:b/>
          <w:bCs/>
          <w:lang w:val="en-US"/>
        </w:rPr>
      </w:pPr>
      <w:r w:rsidRPr="007B3522">
        <w:rPr>
          <w:rFonts w:ascii="Calibri" w:hAnsi="Calibri" w:cs="Calibri"/>
          <w:b/>
          <w:bCs/>
          <w:lang w:val="en-US"/>
        </w:rPr>
        <w:t>Applied Quantitative Methods II</w:t>
      </w:r>
    </w:p>
    <w:p w14:paraId="08AEAACC" w14:textId="77777777" w:rsidR="00917355" w:rsidRPr="00917355" w:rsidRDefault="00917355" w:rsidP="00917355">
      <w:pPr>
        <w:jc w:val="both"/>
        <w:rPr>
          <w:rFonts w:ascii="Calibri" w:hAnsi="Calibri" w:cs="Calibri"/>
          <w:b/>
          <w:bCs/>
          <w:lang w:val="en-US"/>
        </w:rPr>
      </w:pPr>
      <w:r w:rsidRPr="00917355">
        <w:rPr>
          <w:rFonts w:ascii="Calibri" w:hAnsi="Calibri" w:cs="Calibri"/>
          <w:b/>
          <w:bCs/>
          <w:lang w:val="en-US"/>
        </w:rPr>
        <w:t>Final project proposal</w:t>
      </w:r>
    </w:p>
    <w:p w14:paraId="2FDB0171" w14:textId="77777777" w:rsidR="00917355" w:rsidRPr="00917355" w:rsidRDefault="00917355" w:rsidP="00917355">
      <w:pPr>
        <w:jc w:val="both"/>
        <w:rPr>
          <w:rFonts w:ascii="Calibri" w:hAnsi="Calibri" w:cs="Calibri"/>
          <w:b/>
          <w:bCs/>
          <w:lang w:val="en-US"/>
        </w:rPr>
      </w:pPr>
    </w:p>
    <w:p w14:paraId="7FD321C4" w14:textId="77777777" w:rsidR="00917355" w:rsidRPr="00917355" w:rsidRDefault="00917355" w:rsidP="00917355">
      <w:pPr>
        <w:jc w:val="both"/>
        <w:rPr>
          <w:rFonts w:ascii="Calibri" w:hAnsi="Calibri" w:cs="Calibri"/>
          <w:b/>
          <w:bCs/>
          <w:lang w:val="en-US"/>
        </w:rPr>
      </w:pPr>
      <w:r w:rsidRPr="00917355">
        <w:rPr>
          <w:rFonts w:ascii="Calibri" w:hAnsi="Calibri" w:cs="Calibri"/>
          <w:b/>
          <w:bCs/>
          <w:lang w:val="en-US"/>
        </w:rPr>
        <w:t>Who remains out of reach for European institutions? Individual determinants and spatial patterns of citizen impermeability to EU digital communication</w:t>
      </w:r>
    </w:p>
    <w:p w14:paraId="61C3549C" w14:textId="77777777" w:rsidR="00917355" w:rsidRPr="00917355" w:rsidRDefault="00917355" w:rsidP="00917355">
      <w:pPr>
        <w:jc w:val="both"/>
        <w:rPr>
          <w:rFonts w:ascii="Calibri" w:hAnsi="Calibri" w:cs="Calibri"/>
          <w:b/>
          <w:bCs/>
          <w:lang w:val="en-US"/>
        </w:rPr>
      </w:pPr>
    </w:p>
    <w:p w14:paraId="1D91E0FB" w14:textId="77777777" w:rsidR="00917355" w:rsidRPr="00917355" w:rsidRDefault="00917355" w:rsidP="00917355">
      <w:pPr>
        <w:pStyle w:val="Prrafodelista"/>
        <w:numPr>
          <w:ilvl w:val="0"/>
          <w:numId w:val="1"/>
        </w:numPr>
        <w:jc w:val="both"/>
        <w:rPr>
          <w:rFonts w:ascii="Calibri" w:hAnsi="Calibri" w:cs="Calibri"/>
          <w:b/>
          <w:bCs/>
          <w:lang w:val="en-US"/>
        </w:rPr>
      </w:pPr>
      <w:r w:rsidRPr="00917355">
        <w:rPr>
          <w:rFonts w:ascii="Calibri" w:hAnsi="Calibri" w:cs="Calibri"/>
          <w:b/>
          <w:bCs/>
          <w:lang w:val="en-US"/>
        </w:rPr>
        <w:t>Research Questions and Motivation</w:t>
      </w:r>
    </w:p>
    <w:p w14:paraId="0070BDC7" w14:textId="77777777" w:rsidR="00917355" w:rsidRPr="00917355" w:rsidRDefault="00917355" w:rsidP="00917355">
      <w:pPr>
        <w:jc w:val="both"/>
        <w:rPr>
          <w:rFonts w:ascii="Calibri" w:hAnsi="Calibri" w:cs="Calibri"/>
          <w:b/>
          <w:bCs/>
          <w:lang w:val="en-US"/>
        </w:rPr>
      </w:pPr>
    </w:p>
    <w:p w14:paraId="002D1E70" w14:textId="77777777" w:rsidR="00917355" w:rsidRPr="00917355" w:rsidRDefault="00917355" w:rsidP="00917355">
      <w:pPr>
        <w:jc w:val="both"/>
        <w:rPr>
          <w:rFonts w:ascii="Calibri" w:hAnsi="Calibri" w:cs="Calibri"/>
          <w:lang w:val="en-US"/>
        </w:rPr>
      </w:pPr>
      <w:r w:rsidRPr="00917355">
        <w:rPr>
          <w:rFonts w:ascii="Calibri" w:hAnsi="Calibri" w:cs="Calibri"/>
          <w:lang w:val="en-US"/>
        </w:rPr>
        <w:t>The institutions of the European Union (EU) are investing increasing resources in digital communication and social media presence with the explicit objective of bringing the European project closer to its citizens and narrowing the long-diagnosed “communication deficit” between Brussels and the national public spheres (De Wilde et al., 2014; Hänska &amp; Bauchowitz, 2019). However, a significant number of European citizens not only refrain from following EU institutions on social media, but also state that no change in communication strategy would induce them to do so (European Parliament, 2026). This last group (citizens who are, in effect, communicatively “unreachable”) constitutes an analytical puzzle that cuts across the literatures on institutional trust, political disaffection and the digital divide.</w:t>
      </w:r>
    </w:p>
    <w:p w14:paraId="5DF5696E" w14:textId="77777777" w:rsidR="00917355" w:rsidRPr="00917355" w:rsidRDefault="00917355" w:rsidP="00917355">
      <w:pPr>
        <w:jc w:val="both"/>
        <w:rPr>
          <w:rFonts w:ascii="Calibri" w:hAnsi="Calibri" w:cs="Calibri"/>
          <w:lang w:val="en-US"/>
        </w:rPr>
      </w:pPr>
    </w:p>
    <w:p w14:paraId="2ADA95E3" w14:textId="77777777" w:rsidR="00917355" w:rsidRPr="00065F67" w:rsidRDefault="00917355" w:rsidP="00917355">
      <w:pPr>
        <w:jc w:val="both"/>
        <w:rPr>
          <w:rFonts w:ascii="Calibri" w:hAnsi="Calibri" w:cs="Calibri"/>
          <w:lang w:val="en-US"/>
        </w:rPr>
      </w:pPr>
      <w:r w:rsidRPr="00065F67">
        <w:rPr>
          <w:rFonts w:ascii="Calibri" w:hAnsi="Calibri" w:cs="Calibri"/>
          <w:lang w:val="en-US"/>
        </w:rPr>
        <w:t>Against this backdrop, the present study is structured around two interrelated research questions:</w:t>
      </w:r>
    </w:p>
    <w:p w14:paraId="1EB4E947" w14:textId="77777777" w:rsidR="00917355" w:rsidRPr="00917355" w:rsidRDefault="00917355" w:rsidP="00917355">
      <w:pPr>
        <w:jc w:val="both"/>
        <w:rPr>
          <w:rFonts w:ascii="Calibri" w:hAnsi="Calibri" w:cs="Calibri"/>
          <w:b/>
          <w:bCs/>
          <w:lang w:val="en-US"/>
        </w:rPr>
      </w:pPr>
    </w:p>
    <w:p w14:paraId="1D660B08" w14:textId="77777777" w:rsidR="00917355" w:rsidRPr="00917355" w:rsidRDefault="00917355" w:rsidP="00917355">
      <w:pPr>
        <w:pStyle w:val="Prrafodelista"/>
        <w:numPr>
          <w:ilvl w:val="0"/>
          <w:numId w:val="6"/>
        </w:numPr>
        <w:jc w:val="both"/>
        <w:rPr>
          <w:rFonts w:ascii="Calibri" w:hAnsi="Calibri" w:cs="Calibri"/>
          <w:lang w:val="en-US"/>
        </w:rPr>
      </w:pPr>
      <w:r w:rsidRPr="00917355">
        <w:rPr>
          <w:rFonts w:ascii="Calibri" w:hAnsi="Calibri" w:cs="Calibri"/>
          <w:b/>
          <w:bCs/>
          <w:lang w:val="en-US"/>
        </w:rPr>
        <w:t>RQ1.</w:t>
      </w:r>
      <w:r w:rsidRPr="00917355">
        <w:rPr>
          <w:rFonts w:ascii="Calibri" w:hAnsi="Calibri" w:cs="Calibri"/>
          <w:lang w:val="en-US"/>
        </w:rPr>
        <w:t xml:space="preserve"> </w:t>
      </w:r>
      <w:r w:rsidRPr="00917355">
        <w:rPr>
          <w:rFonts w:ascii="Calibri" w:hAnsi="Calibri" w:cs="Calibri"/>
          <w:i/>
          <w:iCs/>
          <w:lang w:val="en-US"/>
        </w:rPr>
        <w:t>Which individual-level characteristics predict that a European citizen will be completely impermeable to any change in the digital communication strategy of EU institutions?</w:t>
      </w:r>
      <w:r w:rsidRPr="00917355">
        <w:rPr>
          <w:rFonts w:ascii="Calibri" w:hAnsi="Calibri" w:cs="Calibri"/>
          <w:lang w:val="en-US"/>
        </w:rPr>
        <w:t xml:space="preserve"> </w:t>
      </w:r>
    </w:p>
    <w:p w14:paraId="6EC1FB42" w14:textId="77777777" w:rsidR="00917355" w:rsidRPr="00917355" w:rsidRDefault="00917355" w:rsidP="00917355">
      <w:pPr>
        <w:jc w:val="both"/>
        <w:rPr>
          <w:rFonts w:ascii="Calibri" w:hAnsi="Calibri" w:cs="Calibri"/>
          <w:lang w:val="en-US"/>
        </w:rPr>
      </w:pPr>
    </w:p>
    <w:p w14:paraId="22D10C83" w14:textId="77777777" w:rsidR="00917355" w:rsidRPr="00917355" w:rsidRDefault="00917355" w:rsidP="00917355">
      <w:pPr>
        <w:jc w:val="both"/>
        <w:rPr>
          <w:rFonts w:ascii="Calibri" w:hAnsi="Calibri" w:cs="Calibri"/>
          <w:lang w:val="en-US"/>
        </w:rPr>
      </w:pPr>
      <w:r w:rsidRPr="00917355">
        <w:rPr>
          <w:rFonts w:ascii="Calibri" w:hAnsi="Calibri" w:cs="Calibri"/>
          <w:lang w:val="en-US"/>
        </w:rPr>
        <w:t>More specifically, this research aims to explain to what extent do socio-demographic variables (age, gender, education, income, occupational status, place of residence) and behavioural variables (institutional trust, levels of Euroscepticism, political interest, patterns of media consumption) contribute to said digital impermeability. Prior research on the digital divide in the EU has identified systematic socio-demographic gradients in online behavior (Cruz-Jesus et al., 2016; Gomes &amp; Dias, 2015), while the literature on political disengagement has stressed the role of low institutional trust and political apathy in driving withdrawal from democratic processes (Hobolt &amp; De Vries, 2016). These two strands may be converging in the specific case of EU digital communication, producing a distinctive profile of the “unreachable” citizen.</w:t>
      </w:r>
    </w:p>
    <w:p w14:paraId="48D9C90B" w14:textId="77777777" w:rsidR="00917355" w:rsidRPr="00917355" w:rsidRDefault="00917355" w:rsidP="00917355">
      <w:pPr>
        <w:jc w:val="both"/>
        <w:rPr>
          <w:rFonts w:ascii="Calibri" w:hAnsi="Calibri" w:cs="Calibri"/>
          <w:lang w:val="en-US"/>
        </w:rPr>
      </w:pPr>
    </w:p>
    <w:p w14:paraId="66028176" w14:textId="77777777" w:rsidR="00917355" w:rsidRPr="00917355" w:rsidRDefault="00917355" w:rsidP="00917355">
      <w:pPr>
        <w:pStyle w:val="Prrafodelista"/>
        <w:numPr>
          <w:ilvl w:val="0"/>
          <w:numId w:val="6"/>
        </w:numPr>
        <w:jc w:val="both"/>
        <w:rPr>
          <w:rFonts w:ascii="Calibri" w:hAnsi="Calibri" w:cs="Calibri"/>
          <w:lang w:val="en-US"/>
        </w:rPr>
      </w:pPr>
      <w:r w:rsidRPr="00917355">
        <w:rPr>
          <w:rFonts w:ascii="Calibri" w:hAnsi="Calibri" w:cs="Calibri"/>
          <w:b/>
          <w:bCs/>
          <w:lang w:val="en-US"/>
        </w:rPr>
        <w:t>RQ2.</w:t>
      </w:r>
      <w:r w:rsidRPr="00917355">
        <w:rPr>
          <w:rFonts w:ascii="Calibri" w:hAnsi="Calibri" w:cs="Calibri"/>
          <w:lang w:val="en-US"/>
        </w:rPr>
        <w:t xml:space="preserve"> </w:t>
      </w:r>
      <w:r w:rsidRPr="00917355">
        <w:rPr>
          <w:rFonts w:ascii="Calibri" w:hAnsi="Calibri" w:cs="Calibri"/>
          <w:i/>
          <w:iCs/>
          <w:lang w:val="en-US"/>
        </w:rPr>
        <w:t>Is there systematic geographical heterogeneity in this phenomenon across the European landscape?</w:t>
      </w:r>
    </w:p>
    <w:p w14:paraId="092D7D3D" w14:textId="77777777" w:rsidR="00917355" w:rsidRPr="00917355" w:rsidRDefault="00917355" w:rsidP="00917355">
      <w:pPr>
        <w:jc w:val="both"/>
        <w:rPr>
          <w:rFonts w:ascii="Calibri" w:hAnsi="Calibri" w:cs="Calibri"/>
          <w:i/>
          <w:iCs/>
          <w:lang w:val="en-US"/>
        </w:rPr>
      </w:pPr>
    </w:p>
    <w:p w14:paraId="312A39D2" w14:textId="79FA8446" w:rsidR="00917355" w:rsidRPr="00917355" w:rsidRDefault="00917355" w:rsidP="00917355">
      <w:pPr>
        <w:jc w:val="both"/>
        <w:rPr>
          <w:rFonts w:ascii="Calibri" w:hAnsi="Calibri" w:cs="Calibri"/>
          <w:lang w:val="en-US"/>
        </w:rPr>
      </w:pPr>
      <w:r w:rsidRPr="00917355">
        <w:rPr>
          <w:rFonts w:ascii="Calibri" w:hAnsi="Calibri" w:cs="Calibri"/>
          <w:i/>
          <w:iCs/>
          <w:lang w:val="en-US"/>
        </w:rPr>
        <w:t xml:space="preserve"> </w:t>
      </w:r>
      <w:r w:rsidRPr="00917355">
        <w:rPr>
          <w:rFonts w:ascii="Calibri" w:hAnsi="Calibri" w:cs="Calibri"/>
          <w:lang w:val="en-US"/>
        </w:rPr>
        <w:t xml:space="preserve">The emerging literature on the “geography of EU discontent” (Dijkstra et al., 2020) has documented that Euroscepticism and political disaffection are not randomly distributed across the European territory, but concentrate in regions experiencing long-term economic stagnation, demographic decline or so-called "development traps". If impermeability to EU digital communication shares roots with these broader disaffection syndromes, one would expect it to display analogous spatial patterns. </w:t>
      </w:r>
      <w:r w:rsidR="004E5354">
        <w:rPr>
          <w:rFonts w:ascii="Calibri" w:hAnsi="Calibri" w:cs="Calibri"/>
          <w:lang w:val="en-US"/>
        </w:rPr>
        <w:t>In turn</w:t>
      </w:r>
      <w:r w:rsidRPr="00917355">
        <w:rPr>
          <w:rFonts w:ascii="Calibri" w:hAnsi="Calibri" w:cs="Calibri"/>
          <w:lang w:val="en-US"/>
        </w:rPr>
        <w:t xml:space="preserve">, testing this </w:t>
      </w:r>
      <w:r w:rsidRPr="00917355">
        <w:rPr>
          <w:rFonts w:ascii="Calibri" w:hAnsi="Calibri" w:cs="Calibri"/>
          <w:lang w:val="en-US"/>
        </w:rPr>
        <w:lastRenderedPageBreak/>
        <w:t>hypothesis requires moving beyond purely individual-level analysis and incorporating a multilevel or geographically explicit approach.</w:t>
      </w:r>
    </w:p>
    <w:p w14:paraId="3BF8EAA8" w14:textId="77777777" w:rsidR="00917355" w:rsidRPr="00917355" w:rsidRDefault="00917355" w:rsidP="00917355">
      <w:pPr>
        <w:jc w:val="both"/>
        <w:rPr>
          <w:rFonts w:ascii="Calibri" w:hAnsi="Calibri" w:cs="Calibri"/>
          <w:lang w:val="en-US"/>
        </w:rPr>
      </w:pPr>
    </w:p>
    <w:p w14:paraId="574EFFCE" w14:textId="77777777" w:rsidR="00917355" w:rsidRPr="00917355" w:rsidRDefault="00917355" w:rsidP="00917355">
      <w:pPr>
        <w:pStyle w:val="Prrafodelista"/>
        <w:numPr>
          <w:ilvl w:val="0"/>
          <w:numId w:val="1"/>
        </w:numPr>
        <w:jc w:val="both"/>
        <w:rPr>
          <w:rFonts w:ascii="Calibri" w:hAnsi="Calibri" w:cs="Calibri"/>
          <w:b/>
          <w:bCs/>
          <w:lang w:val="en-US"/>
        </w:rPr>
      </w:pPr>
      <w:r w:rsidRPr="00917355">
        <w:rPr>
          <w:rFonts w:ascii="Calibri" w:hAnsi="Calibri" w:cs="Calibri"/>
          <w:b/>
          <w:bCs/>
          <w:lang w:val="en-US"/>
        </w:rPr>
        <w:t>Data</w:t>
      </w:r>
    </w:p>
    <w:p w14:paraId="0CB85456" w14:textId="77777777" w:rsidR="00917355" w:rsidRPr="00917355" w:rsidRDefault="00917355" w:rsidP="00917355">
      <w:pPr>
        <w:jc w:val="both"/>
        <w:rPr>
          <w:rFonts w:ascii="Calibri" w:hAnsi="Calibri" w:cs="Calibri"/>
          <w:b/>
          <w:bCs/>
          <w:lang w:val="en-US"/>
        </w:rPr>
      </w:pPr>
    </w:p>
    <w:p w14:paraId="16881A32" w14:textId="77777777" w:rsidR="00917355" w:rsidRPr="00917355" w:rsidRDefault="00917355" w:rsidP="00917355">
      <w:pPr>
        <w:jc w:val="both"/>
        <w:rPr>
          <w:rFonts w:ascii="Calibri" w:hAnsi="Calibri" w:cs="Calibri"/>
          <w:lang w:val="en-US"/>
        </w:rPr>
      </w:pPr>
      <w:r w:rsidRPr="00917355">
        <w:rPr>
          <w:rFonts w:ascii="Calibri" w:hAnsi="Calibri" w:cs="Calibri"/>
          <w:lang w:val="en-US"/>
        </w:rPr>
        <w:t>The data for this project comes from the Social Media Survey 2025 (Flash Eurobarometer nº 3592), produced by Ipsos for the DG Communication Public Opinion Unit of the European Parliament. The survey was conducted in June 2025 (11.06.2025–18.06.2025) and covers all 27 EU member states. Relevant information:</w:t>
      </w:r>
    </w:p>
    <w:p w14:paraId="7E61B76B" w14:textId="77777777" w:rsidR="00917355" w:rsidRPr="00917355" w:rsidRDefault="00917355" w:rsidP="00917355">
      <w:pPr>
        <w:jc w:val="both"/>
        <w:rPr>
          <w:rFonts w:ascii="Calibri" w:hAnsi="Calibri" w:cs="Calibri"/>
          <w:lang w:val="en-US"/>
        </w:rPr>
      </w:pPr>
    </w:p>
    <w:p w14:paraId="05C67A1D" w14:textId="77777777" w:rsidR="00917355" w:rsidRPr="00917355" w:rsidRDefault="00917355" w:rsidP="00917355">
      <w:pPr>
        <w:pStyle w:val="Prrafodelista"/>
        <w:numPr>
          <w:ilvl w:val="0"/>
          <w:numId w:val="6"/>
        </w:numPr>
        <w:jc w:val="both"/>
        <w:rPr>
          <w:rFonts w:ascii="Calibri" w:hAnsi="Calibri" w:cs="Calibri"/>
          <w:lang w:val="en-US"/>
        </w:rPr>
      </w:pPr>
      <w:r w:rsidRPr="00917355">
        <w:rPr>
          <w:rFonts w:ascii="Calibri" w:hAnsi="Calibri" w:cs="Calibri"/>
          <w:lang w:val="en-US"/>
        </w:rPr>
        <w:t xml:space="preserve">Total sample: 26,114 respondents. </w:t>
      </w:r>
    </w:p>
    <w:p w14:paraId="2A474FED" w14:textId="77777777" w:rsidR="00917355" w:rsidRPr="00917355" w:rsidRDefault="00917355" w:rsidP="00917355">
      <w:pPr>
        <w:pStyle w:val="Prrafodelista"/>
        <w:numPr>
          <w:ilvl w:val="0"/>
          <w:numId w:val="6"/>
        </w:numPr>
        <w:jc w:val="both"/>
        <w:rPr>
          <w:rFonts w:ascii="Calibri" w:hAnsi="Calibri" w:cs="Calibri"/>
          <w:lang w:val="en-US"/>
        </w:rPr>
      </w:pPr>
      <w:r w:rsidRPr="00917355">
        <w:rPr>
          <w:rFonts w:ascii="Calibri" w:hAnsi="Calibri" w:cs="Calibri"/>
          <w:lang w:val="en-US"/>
        </w:rPr>
        <w:t>Study subsample (respondents not currently following any EU institution on social media, Q8 ≠ 6): approximately 22,167 observations.</w:t>
      </w:r>
    </w:p>
    <w:p w14:paraId="0CD20314" w14:textId="77777777" w:rsidR="00917355" w:rsidRPr="00917355" w:rsidRDefault="00917355" w:rsidP="00917355">
      <w:pPr>
        <w:pStyle w:val="Prrafodelista"/>
        <w:numPr>
          <w:ilvl w:val="0"/>
          <w:numId w:val="6"/>
        </w:numPr>
        <w:jc w:val="both"/>
        <w:rPr>
          <w:rFonts w:ascii="Calibri" w:hAnsi="Calibri" w:cs="Calibri"/>
          <w:lang w:val="en-US"/>
        </w:rPr>
      </w:pPr>
      <w:r w:rsidRPr="00917355">
        <w:rPr>
          <w:rFonts w:ascii="Calibri" w:hAnsi="Calibri" w:cs="Calibri"/>
          <w:lang w:val="en-US"/>
        </w:rPr>
        <w:t>Analyses will use the country-level outcome weight (w1).</w:t>
      </w:r>
    </w:p>
    <w:p w14:paraId="6FCCD0C8" w14:textId="77777777" w:rsidR="00917355" w:rsidRPr="00917355" w:rsidRDefault="00917355" w:rsidP="00917355">
      <w:pPr>
        <w:jc w:val="both"/>
        <w:rPr>
          <w:rFonts w:ascii="Calibri" w:hAnsi="Calibri" w:cs="Calibri"/>
          <w:lang w:val="en-US"/>
        </w:rPr>
      </w:pPr>
    </w:p>
    <w:p w14:paraId="1F72838A" w14:textId="77777777" w:rsidR="00917355" w:rsidRPr="00917355" w:rsidRDefault="00917355" w:rsidP="00917355">
      <w:pPr>
        <w:jc w:val="both"/>
        <w:rPr>
          <w:rFonts w:ascii="Calibri" w:hAnsi="Calibri" w:cs="Calibri"/>
          <w:lang w:val="en-US"/>
        </w:rPr>
      </w:pPr>
      <w:r w:rsidRPr="00917355">
        <w:rPr>
          <w:rFonts w:ascii="Calibri" w:hAnsi="Calibri" w:cs="Calibri"/>
          <w:lang w:val="en-US"/>
        </w:rPr>
        <w:t>The survey collects detailed information on media behavior, EU attitudes, institutional trust, exposure to disinformation, and sociodemographic characteristics, allowing for a rich empirical specification.</w:t>
      </w:r>
    </w:p>
    <w:p w14:paraId="072D1AC8" w14:textId="77777777" w:rsidR="00917355" w:rsidRPr="00917355" w:rsidRDefault="00917355" w:rsidP="00917355">
      <w:pPr>
        <w:jc w:val="both"/>
        <w:rPr>
          <w:rFonts w:ascii="Calibri" w:hAnsi="Calibri" w:cs="Calibri"/>
          <w:lang w:val="en-US"/>
        </w:rPr>
      </w:pPr>
    </w:p>
    <w:p w14:paraId="68690F5E" w14:textId="77777777" w:rsidR="00917355" w:rsidRPr="00917355" w:rsidRDefault="00917355" w:rsidP="00917355">
      <w:pPr>
        <w:pStyle w:val="Prrafodelista"/>
        <w:numPr>
          <w:ilvl w:val="0"/>
          <w:numId w:val="1"/>
        </w:numPr>
        <w:jc w:val="both"/>
        <w:rPr>
          <w:rFonts w:ascii="Calibri" w:hAnsi="Calibri" w:cs="Calibri"/>
          <w:b/>
          <w:bCs/>
          <w:lang w:val="en-US"/>
        </w:rPr>
      </w:pPr>
      <w:r w:rsidRPr="00917355">
        <w:rPr>
          <w:rFonts w:ascii="Calibri" w:hAnsi="Calibri" w:cs="Calibri"/>
          <w:b/>
          <w:bCs/>
          <w:lang w:val="en-US"/>
        </w:rPr>
        <w:t>Variables</w:t>
      </w:r>
    </w:p>
    <w:p w14:paraId="217F8981" w14:textId="77777777" w:rsidR="00917355" w:rsidRPr="00917355" w:rsidRDefault="00917355" w:rsidP="00917355">
      <w:pPr>
        <w:jc w:val="both"/>
        <w:rPr>
          <w:rFonts w:ascii="Calibri" w:hAnsi="Calibri" w:cs="Calibri"/>
          <w:b/>
          <w:bCs/>
          <w:lang w:val="en-US"/>
        </w:rPr>
      </w:pPr>
    </w:p>
    <w:p w14:paraId="34CAD31C" w14:textId="77777777" w:rsidR="00917355" w:rsidRPr="00917355" w:rsidRDefault="00917355" w:rsidP="00917355">
      <w:pPr>
        <w:jc w:val="both"/>
        <w:rPr>
          <w:rFonts w:ascii="Calibri" w:hAnsi="Calibri" w:cs="Calibri"/>
          <w:lang w:val="en-US"/>
        </w:rPr>
      </w:pPr>
      <w:r w:rsidRPr="00917355">
        <w:rPr>
          <w:rFonts w:ascii="Calibri" w:hAnsi="Calibri" w:cs="Calibri"/>
          <w:b/>
          <w:bCs/>
          <w:lang w:val="en-US"/>
        </w:rPr>
        <w:t>Dependent variable:</w:t>
      </w:r>
      <w:r w:rsidRPr="00917355">
        <w:rPr>
          <w:rFonts w:ascii="Calibri" w:hAnsi="Calibri" w:cs="Calibri"/>
          <w:lang w:val="en-US"/>
        </w:rPr>
        <w:t xml:space="preserve"> Q11_9, a binary indicator equal to 1 if the respondent selected the option “Nothing would make me follow these accounts” in question Q11 (What would make you more likely to follow EU institution accounts on social media?), and 0 otherwise. This variable captures absolute impermeability to any communicative intervention and is the most frequently selected item in Q11 (27.1% of the subsample). </w:t>
      </w:r>
    </w:p>
    <w:p w14:paraId="6411AA51" w14:textId="77777777" w:rsidR="00917355" w:rsidRPr="00917355" w:rsidRDefault="00917355" w:rsidP="00917355">
      <w:pPr>
        <w:jc w:val="both"/>
        <w:rPr>
          <w:rFonts w:ascii="Calibri" w:hAnsi="Calibri" w:cs="Calibri"/>
          <w:b/>
          <w:bCs/>
          <w:lang w:val="en-US"/>
        </w:rPr>
      </w:pPr>
    </w:p>
    <w:p w14:paraId="14BFDAC4" w14:textId="01363883" w:rsidR="00917355" w:rsidRPr="00917355" w:rsidRDefault="00917355" w:rsidP="00917355">
      <w:pPr>
        <w:jc w:val="both"/>
        <w:rPr>
          <w:rFonts w:ascii="Calibri" w:hAnsi="Calibri" w:cs="Calibri"/>
          <w:lang w:val="en-US"/>
        </w:rPr>
      </w:pPr>
      <w:r w:rsidRPr="00917355">
        <w:rPr>
          <w:rFonts w:ascii="Calibri" w:hAnsi="Calibri" w:cs="Calibri"/>
          <w:b/>
          <w:bCs/>
          <w:lang w:val="en-US"/>
        </w:rPr>
        <w:t>Independent variables</w:t>
      </w:r>
      <w:r w:rsidRPr="00917355">
        <w:rPr>
          <w:rFonts w:ascii="Calibri" w:hAnsi="Calibri" w:cs="Calibri"/>
          <w:lang w:val="en-US"/>
        </w:rPr>
        <w:t xml:space="preserve"> will </w:t>
      </w:r>
      <w:r w:rsidR="004E5354">
        <w:rPr>
          <w:rFonts w:ascii="Calibri" w:hAnsi="Calibri" w:cs="Calibri"/>
          <w:lang w:val="en-US"/>
        </w:rPr>
        <w:t xml:space="preserve">expectedly </w:t>
      </w:r>
      <w:r w:rsidRPr="00917355">
        <w:rPr>
          <w:rFonts w:ascii="Calibri" w:hAnsi="Calibri" w:cs="Calibri"/>
          <w:lang w:val="en-US"/>
        </w:rPr>
        <w:t>be organized into four theoretically motivated blocks:</w:t>
      </w:r>
    </w:p>
    <w:p w14:paraId="1F3855EA" w14:textId="77777777" w:rsidR="00917355" w:rsidRPr="00917355" w:rsidRDefault="00917355" w:rsidP="00917355">
      <w:pPr>
        <w:jc w:val="both"/>
        <w:rPr>
          <w:rFonts w:ascii="Calibri" w:hAnsi="Calibri" w:cs="Calibri"/>
          <w:lang w:val="en-US"/>
        </w:rPr>
      </w:pPr>
    </w:p>
    <w:p w14:paraId="4F44BB23" w14:textId="77777777" w:rsidR="00917355" w:rsidRPr="00917355" w:rsidRDefault="00917355" w:rsidP="00917355">
      <w:pPr>
        <w:pStyle w:val="Prrafodelista"/>
        <w:numPr>
          <w:ilvl w:val="0"/>
          <w:numId w:val="5"/>
        </w:numPr>
        <w:jc w:val="both"/>
        <w:rPr>
          <w:rFonts w:ascii="Calibri" w:hAnsi="Calibri" w:cs="Calibri"/>
          <w:lang w:val="en-US"/>
        </w:rPr>
      </w:pPr>
      <w:r w:rsidRPr="00917355">
        <w:rPr>
          <w:rFonts w:ascii="Calibri" w:hAnsi="Calibri" w:cs="Calibri"/>
          <w:b/>
          <w:bCs/>
          <w:lang w:val="en-US"/>
        </w:rPr>
        <w:t>EU attitudes:</w:t>
      </w:r>
      <w:r w:rsidRPr="00917355">
        <w:rPr>
          <w:rFonts w:ascii="Calibri" w:hAnsi="Calibri" w:cs="Calibri"/>
          <w:lang w:val="en-US"/>
        </w:rPr>
        <w:t xml:space="preserve"> Q20 (importance of EU membership), Q21 (general position towards the EU), Q23 (follow-up of European politics</w:t>
      </w:r>
      <w:proofErr w:type="gramStart"/>
      <w:r w:rsidRPr="00917355">
        <w:rPr>
          <w:rFonts w:ascii="Calibri" w:hAnsi="Calibri" w:cs="Calibri"/>
          <w:lang w:val="en-US"/>
        </w:rPr>
        <w:t>);</w:t>
      </w:r>
      <w:proofErr w:type="gramEnd"/>
    </w:p>
    <w:p w14:paraId="1ACC1259" w14:textId="77777777" w:rsidR="00917355" w:rsidRPr="00917355" w:rsidRDefault="00917355" w:rsidP="00917355">
      <w:pPr>
        <w:pStyle w:val="Prrafodelista"/>
        <w:numPr>
          <w:ilvl w:val="0"/>
          <w:numId w:val="5"/>
        </w:numPr>
        <w:jc w:val="both"/>
        <w:rPr>
          <w:rFonts w:ascii="Calibri" w:hAnsi="Calibri" w:cs="Calibri"/>
          <w:lang w:val="en-US"/>
        </w:rPr>
      </w:pPr>
      <w:r w:rsidRPr="00917355">
        <w:rPr>
          <w:rFonts w:ascii="Calibri" w:hAnsi="Calibri" w:cs="Calibri"/>
          <w:b/>
          <w:bCs/>
          <w:lang w:val="en-US"/>
        </w:rPr>
        <w:t>Media behavior and social media use:</w:t>
      </w:r>
      <w:r w:rsidRPr="00917355">
        <w:rPr>
          <w:rFonts w:ascii="Calibri" w:hAnsi="Calibri" w:cs="Calibri"/>
          <w:lang w:val="en-US"/>
        </w:rPr>
        <w:t xml:space="preserve"> Q3_1 and Q3_2 (frequency of media use), Q4a (information sources), Q5 (platforms used), Q7 (forms of engagement with political content</w:t>
      </w:r>
      <w:proofErr w:type="gramStart"/>
      <w:r w:rsidRPr="00917355">
        <w:rPr>
          <w:rFonts w:ascii="Calibri" w:hAnsi="Calibri" w:cs="Calibri"/>
          <w:lang w:val="en-US"/>
        </w:rPr>
        <w:t>);</w:t>
      </w:r>
      <w:proofErr w:type="gramEnd"/>
    </w:p>
    <w:p w14:paraId="21E891A3" w14:textId="77777777" w:rsidR="00917355" w:rsidRPr="00917355" w:rsidRDefault="00917355" w:rsidP="00917355">
      <w:pPr>
        <w:pStyle w:val="Prrafodelista"/>
        <w:numPr>
          <w:ilvl w:val="0"/>
          <w:numId w:val="5"/>
        </w:numPr>
        <w:jc w:val="both"/>
        <w:rPr>
          <w:rFonts w:ascii="Calibri" w:hAnsi="Calibri" w:cs="Calibri"/>
          <w:lang w:val="en-US"/>
        </w:rPr>
      </w:pPr>
      <w:r w:rsidRPr="00917355">
        <w:rPr>
          <w:rFonts w:ascii="Calibri" w:hAnsi="Calibri" w:cs="Calibri"/>
          <w:b/>
          <w:bCs/>
          <w:lang w:val="en-US"/>
        </w:rPr>
        <w:t>Barriers to following:</w:t>
      </w:r>
      <w:r w:rsidRPr="00917355">
        <w:rPr>
          <w:rFonts w:ascii="Calibri" w:hAnsi="Calibri" w:cs="Calibri"/>
          <w:lang w:val="en-US"/>
        </w:rPr>
        <w:t xml:space="preserve"> Q10_3 (distrust), Q10_5 (content perceived as irrelevant), Q10_7 (content perceived as too technical</w:t>
      </w:r>
      <w:proofErr w:type="gramStart"/>
      <w:r w:rsidRPr="00917355">
        <w:rPr>
          <w:rFonts w:ascii="Calibri" w:hAnsi="Calibri" w:cs="Calibri"/>
          <w:lang w:val="en-US"/>
        </w:rPr>
        <w:t>);</w:t>
      </w:r>
      <w:proofErr w:type="gramEnd"/>
    </w:p>
    <w:p w14:paraId="7227E19E" w14:textId="77777777" w:rsidR="00917355" w:rsidRPr="00917355" w:rsidRDefault="00917355" w:rsidP="00917355">
      <w:pPr>
        <w:pStyle w:val="Prrafodelista"/>
        <w:numPr>
          <w:ilvl w:val="0"/>
          <w:numId w:val="5"/>
        </w:numPr>
        <w:jc w:val="both"/>
        <w:rPr>
          <w:rFonts w:ascii="Calibri" w:hAnsi="Calibri" w:cs="Calibri"/>
          <w:lang w:val="en-US"/>
        </w:rPr>
      </w:pPr>
      <w:r w:rsidRPr="00917355">
        <w:rPr>
          <w:rFonts w:ascii="Calibri" w:hAnsi="Calibri" w:cs="Calibri"/>
          <w:b/>
          <w:bCs/>
          <w:lang w:val="en-US"/>
        </w:rPr>
        <w:t>Sociodemographic characteristics:</w:t>
      </w:r>
      <w:r w:rsidRPr="00917355">
        <w:rPr>
          <w:rFonts w:ascii="Calibri" w:hAnsi="Calibri" w:cs="Calibri"/>
          <w:lang w:val="en-US"/>
        </w:rPr>
        <w:t xml:space="preserve"> D1 (age), D2 (sex), D4 (education level), D12 (country of residence).</w:t>
      </w:r>
    </w:p>
    <w:p w14:paraId="7F076E92" w14:textId="77777777" w:rsidR="00917355" w:rsidRPr="00917355" w:rsidRDefault="00917355" w:rsidP="00917355">
      <w:pPr>
        <w:jc w:val="both"/>
        <w:rPr>
          <w:rFonts w:ascii="Calibri" w:hAnsi="Calibri" w:cs="Calibri"/>
          <w:lang w:val="en-US"/>
        </w:rPr>
      </w:pPr>
    </w:p>
    <w:p w14:paraId="5B29C0C3" w14:textId="77777777" w:rsidR="00917355" w:rsidRPr="00917355" w:rsidRDefault="00917355" w:rsidP="00917355">
      <w:pPr>
        <w:pStyle w:val="Prrafodelista"/>
        <w:numPr>
          <w:ilvl w:val="0"/>
          <w:numId w:val="1"/>
        </w:numPr>
        <w:jc w:val="both"/>
        <w:rPr>
          <w:rFonts w:ascii="Calibri" w:hAnsi="Calibri" w:cs="Calibri"/>
          <w:b/>
          <w:bCs/>
          <w:lang w:val="en-US"/>
        </w:rPr>
      </w:pPr>
      <w:r w:rsidRPr="00917355">
        <w:rPr>
          <w:rFonts w:ascii="Calibri" w:hAnsi="Calibri" w:cs="Calibri"/>
          <w:b/>
          <w:bCs/>
          <w:lang w:val="en-US"/>
        </w:rPr>
        <w:t>Methodological Strategy</w:t>
      </w:r>
    </w:p>
    <w:p w14:paraId="6BD4DE11" w14:textId="77777777" w:rsidR="00917355" w:rsidRPr="00917355" w:rsidRDefault="00917355" w:rsidP="00917355">
      <w:pPr>
        <w:jc w:val="both"/>
        <w:rPr>
          <w:rFonts w:ascii="Calibri" w:hAnsi="Calibri" w:cs="Calibri"/>
          <w:b/>
          <w:lang w:val="en-US"/>
        </w:rPr>
      </w:pPr>
    </w:p>
    <w:p w14:paraId="60581B39" w14:textId="77777777" w:rsidR="00917355" w:rsidRPr="00917355" w:rsidRDefault="00917355" w:rsidP="00917355">
      <w:pPr>
        <w:jc w:val="both"/>
        <w:rPr>
          <w:rFonts w:ascii="Calibri" w:hAnsi="Calibri" w:cs="Calibri"/>
          <w:bCs/>
          <w:lang w:val="en-US"/>
        </w:rPr>
      </w:pPr>
      <w:r w:rsidRPr="00917355">
        <w:rPr>
          <w:rFonts w:ascii="Calibri" w:hAnsi="Calibri" w:cs="Calibri"/>
          <w:bCs/>
          <w:lang w:val="en-US"/>
        </w:rPr>
        <w:t>The analysis is structured in two complementary blocks:</w:t>
      </w:r>
    </w:p>
    <w:p w14:paraId="2F194D06" w14:textId="77777777" w:rsidR="00917355" w:rsidRPr="00917355" w:rsidRDefault="00917355" w:rsidP="00917355">
      <w:pPr>
        <w:jc w:val="both"/>
        <w:rPr>
          <w:rFonts w:ascii="Calibri" w:hAnsi="Calibri" w:cs="Calibri"/>
          <w:bCs/>
          <w:lang w:val="en-US"/>
        </w:rPr>
      </w:pPr>
    </w:p>
    <w:p w14:paraId="78ACA78F" w14:textId="77777777" w:rsidR="00917355" w:rsidRPr="00917355" w:rsidRDefault="00917355" w:rsidP="00917355">
      <w:pPr>
        <w:pStyle w:val="Prrafodelista"/>
        <w:numPr>
          <w:ilvl w:val="0"/>
          <w:numId w:val="8"/>
        </w:numPr>
        <w:jc w:val="both"/>
        <w:rPr>
          <w:rFonts w:ascii="Calibri" w:hAnsi="Calibri" w:cs="Calibri"/>
          <w:bCs/>
          <w:lang w:val="en-US"/>
        </w:rPr>
      </w:pPr>
      <w:r w:rsidRPr="00917355">
        <w:rPr>
          <w:rFonts w:ascii="Calibri" w:hAnsi="Calibri" w:cs="Calibri"/>
          <w:b/>
          <w:lang w:val="en-US"/>
        </w:rPr>
        <w:t>Block 1 - Binary logistic regression:</w:t>
      </w:r>
      <w:r w:rsidRPr="00917355">
        <w:rPr>
          <w:rFonts w:ascii="Calibri" w:hAnsi="Calibri" w:cs="Calibri"/>
          <w:bCs/>
          <w:lang w:val="en-US"/>
        </w:rPr>
        <w:t xml:space="preserve"> a binary logistic regression model will be estimated with Q11_9 as the dependent variable. The specification will include the four predictor blocks described above, introduced sequentially to assess each </w:t>
      </w:r>
      <w:r w:rsidRPr="00917355">
        <w:rPr>
          <w:rFonts w:ascii="Calibri" w:hAnsi="Calibri" w:cs="Calibri"/>
          <w:bCs/>
          <w:lang w:val="en-US"/>
        </w:rPr>
        <w:lastRenderedPageBreak/>
        <w:t>block’s incremental contribution. Effects will be interpreted using predicted probabilities and average marginal effects (AMEs). Standard errors will be clustered at the country level to account for the sampling structure.</w:t>
      </w:r>
    </w:p>
    <w:p w14:paraId="12A504A0" w14:textId="77777777" w:rsidR="00917355" w:rsidRPr="00917355" w:rsidRDefault="00917355" w:rsidP="00917355">
      <w:pPr>
        <w:jc w:val="both"/>
        <w:rPr>
          <w:rFonts w:ascii="Calibri" w:hAnsi="Calibri" w:cs="Calibri"/>
          <w:bCs/>
          <w:lang w:val="en-US"/>
        </w:rPr>
      </w:pPr>
    </w:p>
    <w:p w14:paraId="5FAF2259" w14:textId="77777777" w:rsidR="00917355" w:rsidRPr="00917355" w:rsidRDefault="00917355" w:rsidP="00917355">
      <w:pPr>
        <w:pStyle w:val="Prrafodelista"/>
        <w:numPr>
          <w:ilvl w:val="0"/>
          <w:numId w:val="8"/>
        </w:numPr>
        <w:jc w:val="both"/>
        <w:rPr>
          <w:rFonts w:ascii="Calibri" w:hAnsi="Calibri" w:cs="Calibri"/>
          <w:bCs/>
          <w:lang w:val="en-US"/>
        </w:rPr>
      </w:pPr>
      <w:r w:rsidRPr="00917355">
        <w:rPr>
          <w:rFonts w:ascii="Calibri" w:hAnsi="Calibri" w:cs="Calibri"/>
          <w:b/>
          <w:lang w:val="en-US"/>
        </w:rPr>
        <w:t>Block 2 - Spatial analysis:</w:t>
      </w:r>
      <w:r w:rsidRPr="00917355">
        <w:rPr>
          <w:rFonts w:ascii="Calibri" w:hAnsi="Calibri" w:cs="Calibri"/>
          <w:bCs/>
          <w:lang w:val="en-US"/>
        </w:rPr>
        <w:t xml:space="preserve"> country-level impermeability rates (proportion of Q11_9 = 1) will be aggregated by member state and mapped using choropleth maps with EU country polygons. Global Moran’s I will be computed to assess whether significant spatial autocorrelation exists. If autocorrelation is significant, a spatial regression model (spatial lag or spatial error) will be estimated at the aggregate level using country-level attitudinal and macroeconomic predictors. </w:t>
      </w:r>
    </w:p>
    <w:p w14:paraId="5CC5A153" w14:textId="77777777" w:rsidR="00917355" w:rsidRPr="00917355" w:rsidRDefault="00917355" w:rsidP="00917355">
      <w:pPr>
        <w:jc w:val="both"/>
        <w:rPr>
          <w:rFonts w:ascii="Calibri" w:hAnsi="Calibri" w:cs="Calibri"/>
          <w:b/>
          <w:bCs/>
          <w:lang w:val="en-US"/>
        </w:rPr>
      </w:pPr>
    </w:p>
    <w:p w14:paraId="24CAC3B2" w14:textId="77777777" w:rsidR="00917355" w:rsidRPr="00917355" w:rsidRDefault="00917355" w:rsidP="00917355">
      <w:pPr>
        <w:jc w:val="both"/>
        <w:rPr>
          <w:rFonts w:ascii="Calibri" w:hAnsi="Calibri" w:cs="Calibri"/>
          <w:b/>
          <w:bCs/>
          <w:lang w:val="en-US"/>
        </w:rPr>
      </w:pPr>
      <w:r w:rsidRPr="00917355">
        <w:rPr>
          <w:rFonts w:ascii="Calibri" w:hAnsi="Calibri" w:cs="Calibri"/>
          <w:b/>
          <w:bCs/>
          <w:lang w:val="en-US"/>
        </w:rPr>
        <w:t xml:space="preserve">Bibliography: </w:t>
      </w:r>
    </w:p>
    <w:p w14:paraId="11C255A4" w14:textId="77777777" w:rsidR="00917355" w:rsidRPr="00917355" w:rsidRDefault="00917355" w:rsidP="00917355">
      <w:pPr>
        <w:jc w:val="both"/>
        <w:rPr>
          <w:rFonts w:ascii="Calibri" w:hAnsi="Calibri" w:cs="Calibri"/>
          <w:b/>
          <w:bCs/>
          <w:lang w:val="en-US"/>
        </w:rPr>
      </w:pPr>
    </w:p>
    <w:p w14:paraId="675C1D1D"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rPr>
        <w:t>Cruz-</w:t>
      </w:r>
      <w:proofErr w:type="spellStart"/>
      <w:r w:rsidRPr="00917355">
        <w:rPr>
          <w:rFonts w:ascii="Calibri" w:hAnsi="Calibri" w:cs="Calibri"/>
        </w:rPr>
        <w:t>Jesus</w:t>
      </w:r>
      <w:proofErr w:type="spellEnd"/>
      <w:r w:rsidRPr="00917355">
        <w:rPr>
          <w:rFonts w:ascii="Calibri" w:hAnsi="Calibri" w:cs="Calibri"/>
        </w:rPr>
        <w:t xml:space="preserve">, F., Vicente, M. R., Bacao, F., &amp; Oliveira, T. (2016). </w:t>
      </w:r>
      <w:r w:rsidRPr="00917355">
        <w:rPr>
          <w:rFonts w:ascii="Calibri" w:hAnsi="Calibri" w:cs="Calibri"/>
          <w:lang w:val="en-US"/>
        </w:rPr>
        <w:t>The education-related digital divide: An analysis for the EU-28. </w:t>
      </w:r>
      <w:proofErr w:type="spellStart"/>
      <w:r w:rsidRPr="00917355">
        <w:rPr>
          <w:rFonts w:ascii="Calibri" w:hAnsi="Calibri" w:cs="Calibri"/>
          <w:i/>
          <w:iCs/>
        </w:rPr>
        <w:t>Computers</w:t>
      </w:r>
      <w:proofErr w:type="spellEnd"/>
      <w:r w:rsidRPr="00917355">
        <w:rPr>
          <w:rFonts w:ascii="Calibri" w:hAnsi="Calibri" w:cs="Calibri"/>
          <w:i/>
          <w:iCs/>
        </w:rPr>
        <w:t xml:space="preserve"> in Human </w:t>
      </w:r>
      <w:proofErr w:type="spellStart"/>
      <w:r w:rsidRPr="00917355">
        <w:rPr>
          <w:rFonts w:ascii="Calibri" w:hAnsi="Calibri" w:cs="Calibri"/>
          <w:i/>
          <w:iCs/>
        </w:rPr>
        <w:t>Behavior</w:t>
      </w:r>
      <w:proofErr w:type="spellEnd"/>
      <w:r w:rsidRPr="00917355">
        <w:rPr>
          <w:rFonts w:ascii="Calibri" w:hAnsi="Calibri" w:cs="Calibri"/>
        </w:rPr>
        <w:t>, </w:t>
      </w:r>
      <w:r w:rsidRPr="00917355">
        <w:rPr>
          <w:rFonts w:ascii="Calibri" w:hAnsi="Calibri" w:cs="Calibri"/>
          <w:i/>
          <w:iCs/>
        </w:rPr>
        <w:t>56</w:t>
      </w:r>
      <w:r w:rsidRPr="00917355">
        <w:rPr>
          <w:rFonts w:ascii="Calibri" w:hAnsi="Calibri" w:cs="Calibri"/>
        </w:rPr>
        <w:t>, 72-82.</w:t>
      </w:r>
    </w:p>
    <w:p w14:paraId="53D5C5A3"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lang w:val="en-US"/>
        </w:rPr>
        <w:t xml:space="preserve">De Wilde, P., </w:t>
      </w:r>
      <w:proofErr w:type="spellStart"/>
      <w:r w:rsidRPr="00917355">
        <w:rPr>
          <w:rFonts w:ascii="Calibri" w:hAnsi="Calibri" w:cs="Calibri"/>
          <w:lang w:val="en-US"/>
        </w:rPr>
        <w:t>Michailidou</w:t>
      </w:r>
      <w:proofErr w:type="spellEnd"/>
      <w:r w:rsidRPr="00917355">
        <w:rPr>
          <w:rFonts w:ascii="Calibri" w:hAnsi="Calibri" w:cs="Calibri"/>
          <w:lang w:val="en-US"/>
        </w:rPr>
        <w:t xml:space="preserve">, A., &amp; </w:t>
      </w:r>
      <w:proofErr w:type="spellStart"/>
      <w:r w:rsidRPr="00917355">
        <w:rPr>
          <w:rFonts w:ascii="Calibri" w:hAnsi="Calibri" w:cs="Calibri"/>
          <w:lang w:val="en-US"/>
        </w:rPr>
        <w:t>Trenz</w:t>
      </w:r>
      <w:proofErr w:type="spellEnd"/>
      <w:r w:rsidRPr="00917355">
        <w:rPr>
          <w:rFonts w:ascii="Calibri" w:hAnsi="Calibri" w:cs="Calibri"/>
          <w:lang w:val="en-US"/>
        </w:rPr>
        <w:t>, H. J. (2014). Converging on Euroscepticism: Online polity contestation during European Parliament elections. </w:t>
      </w:r>
      <w:r w:rsidRPr="00917355">
        <w:rPr>
          <w:rFonts w:ascii="Calibri" w:hAnsi="Calibri" w:cs="Calibri"/>
          <w:i/>
          <w:iCs/>
        </w:rPr>
        <w:t xml:space="preserve">European </w:t>
      </w:r>
      <w:proofErr w:type="spellStart"/>
      <w:r w:rsidRPr="00917355">
        <w:rPr>
          <w:rFonts w:ascii="Calibri" w:hAnsi="Calibri" w:cs="Calibri"/>
          <w:i/>
          <w:iCs/>
        </w:rPr>
        <w:t>journal</w:t>
      </w:r>
      <w:proofErr w:type="spellEnd"/>
      <w:r w:rsidRPr="00917355">
        <w:rPr>
          <w:rFonts w:ascii="Calibri" w:hAnsi="Calibri" w:cs="Calibri"/>
          <w:i/>
          <w:iCs/>
        </w:rPr>
        <w:t xml:space="preserve"> of </w:t>
      </w:r>
      <w:proofErr w:type="spellStart"/>
      <w:r w:rsidRPr="00917355">
        <w:rPr>
          <w:rFonts w:ascii="Calibri" w:hAnsi="Calibri" w:cs="Calibri"/>
          <w:i/>
          <w:iCs/>
        </w:rPr>
        <w:t>political</w:t>
      </w:r>
      <w:proofErr w:type="spellEnd"/>
      <w:r w:rsidRPr="00917355">
        <w:rPr>
          <w:rFonts w:ascii="Calibri" w:hAnsi="Calibri" w:cs="Calibri"/>
          <w:i/>
          <w:iCs/>
        </w:rPr>
        <w:t xml:space="preserve"> </w:t>
      </w:r>
      <w:proofErr w:type="spellStart"/>
      <w:r w:rsidRPr="00917355">
        <w:rPr>
          <w:rFonts w:ascii="Calibri" w:hAnsi="Calibri" w:cs="Calibri"/>
          <w:i/>
          <w:iCs/>
        </w:rPr>
        <w:t>research</w:t>
      </w:r>
      <w:proofErr w:type="spellEnd"/>
      <w:r w:rsidRPr="00917355">
        <w:rPr>
          <w:rFonts w:ascii="Calibri" w:hAnsi="Calibri" w:cs="Calibri"/>
        </w:rPr>
        <w:t>, </w:t>
      </w:r>
      <w:r w:rsidRPr="00917355">
        <w:rPr>
          <w:rFonts w:ascii="Calibri" w:hAnsi="Calibri" w:cs="Calibri"/>
          <w:i/>
          <w:iCs/>
        </w:rPr>
        <w:t>53</w:t>
      </w:r>
      <w:r w:rsidRPr="00917355">
        <w:rPr>
          <w:rFonts w:ascii="Calibri" w:hAnsi="Calibri" w:cs="Calibri"/>
        </w:rPr>
        <w:t>(4), 766-783.</w:t>
      </w:r>
    </w:p>
    <w:p w14:paraId="4B0BF1D4"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rPr>
        <w:t xml:space="preserve">Dijkstra, L., </w:t>
      </w:r>
      <w:proofErr w:type="spellStart"/>
      <w:r w:rsidRPr="00917355">
        <w:rPr>
          <w:rFonts w:ascii="Calibri" w:hAnsi="Calibri" w:cs="Calibri"/>
        </w:rPr>
        <w:t>Poelman</w:t>
      </w:r>
      <w:proofErr w:type="spellEnd"/>
      <w:r w:rsidRPr="00917355">
        <w:rPr>
          <w:rFonts w:ascii="Calibri" w:hAnsi="Calibri" w:cs="Calibri"/>
        </w:rPr>
        <w:t xml:space="preserve">, H., &amp; Rodríguez-Pose, A. (2020). </w:t>
      </w:r>
      <w:r w:rsidRPr="00917355">
        <w:rPr>
          <w:rFonts w:ascii="Calibri" w:hAnsi="Calibri" w:cs="Calibri"/>
          <w:lang w:val="en-US"/>
        </w:rPr>
        <w:t>The geography of EU discontent. </w:t>
      </w:r>
      <w:r w:rsidRPr="00917355">
        <w:rPr>
          <w:rFonts w:ascii="Calibri" w:hAnsi="Calibri" w:cs="Calibri"/>
          <w:i/>
          <w:iCs/>
        </w:rPr>
        <w:t>Regional Studies</w:t>
      </w:r>
      <w:r w:rsidRPr="00917355">
        <w:rPr>
          <w:rFonts w:ascii="Calibri" w:hAnsi="Calibri" w:cs="Calibri"/>
        </w:rPr>
        <w:t>, </w:t>
      </w:r>
      <w:r w:rsidRPr="00917355">
        <w:rPr>
          <w:rFonts w:ascii="Calibri" w:hAnsi="Calibri" w:cs="Calibri"/>
          <w:i/>
          <w:iCs/>
        </w:rPr>
        <w:t>54</w:t>
      </w:r>
      <w:r w:rsidRPr="00917355">
        <w:rPr>
          <w:rFonts w:ascii="Calibri" w:hAnsi="Calibri" w:cs="Calibri"/>
        </w:rPr>
        <w:t>(6), 737-753.</w:t>
      </w:r>
    </w:p>
    <w:p w14:paraId="24493646" w14:textId="77777777" w:rsidR="00917355" w:rsidRPr="00917355" w:rsidRDefault="00917355" w:rsidP="00917355">
      <w:pPr>
        <w:pStyle w:val="Prrafodelista"/>
        <w:numPr>
          <w:ilvl w:val="0"/>
          <w:numId w:val="2"/>
        </w:numPr>
        <w:jc w:val="both"/>
        <w:rPr>
          <w:rFonts w:ascii="Calibri" w:hAnsi="Calibri" w:cs="Calibri"/>
        </w:rPr>
      </w:pPr>
      <w:r w:rsidRPr="00917355">
        <w:rPr>
          <w:rFonts w:ascii="Calibri" w:hAnsi="Calibri" w:cs="Calibri"/>
          <w:lang w:val="en-US"/>
        </w:rPr>
        <w:t>European Parliament, Brussels (2026). Flash Eurobarometer 3592 (Social Media Survey 2025) </w:t>
      </w:r>
      <w:r w:rsidRPr="00917355">
        <w:rPr>
          <w:rFonts w:ascii="Calibri" w:hAnsi="Calibri" w:cs="Calibri"/>
          <w:i/>
          <w:iCs/>
          <w:lang w:val="en-US"/>
        </w:rPr>
        <w:t xml:space="preserve">(ZA9078; Version 1.0.0) [Data set]. </w:t>
      </w:r>
      <w:r w:rsidRPr="00917355">
        <w:rPr>
          <w:rFonts w:ascii="Calibri" w:hAnsi="Calibri" w:cs="Calibri"/>
          <w:i/>
          <w:iCs/>
        </w:rPr>
        <w:t xml:space="preserve">GESIS, </w:t>
      </w:r>
      <w:proofErr w:type="spellStart"/>
      <w:r w:rsidRPr="00917355">
        <w:rPr>
          <w:rFonts w:ascii="Calibri" w:hAnsi="Calibri" w:cs="Calibri"/>
          <w:i/>
          <w:iCs/>
        </w:rPr>
        <w:t>Cologne</w:t>
      </w:r>
      <w:proofErr w:type="spellEnd"/>
      <w:r w:rsidRPr="00917355">
        <w:rPr>
          <w:rFonts w:ascii="Calibri" w:hAnsi="Calibri" w:cs="Calibri"/>
          <w:i/>
          <w:iCs/>
        </w:rPr>
        <w:t xml:space="preserve">. </w:t>
      </w:r>
      <w:hyperlink r:id="rId5" w:history="1">
        <w:r w:rsidRPr="00917355">
          <w:rPr>
            <w:rStyle w:val="Hipervnculo"/>
            <w:rFonts w:ascii="Calibri" w:hAnsi="Calibri" w:cs="Calibri"/>
            <w:i/>
            <w:iCs/>
          </w:rPr>
          <w:t>DOI</w:t>
        </w:r>
      </w:hyperlink>
      <w:r w:rsidRPr="00917355">
        <w:rPr>
          <w:rFonts w:ascii="Calibri" w:hAnsi="Calibri" w:cs="Calibri"/>
          <w:i/>
          <w:iCs/>
        </w:rPr>
        <w:t>.</w:t>
      </w:r>
    </w:p>
    <w:p w14:paraId="27B3D042"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rPr>
        <w:t xml:space="preserve">Gomes, A., &amp; </w:t>
      </w:r>
      <w:proofErr w:type="spellStart"/>
      <w:r w:rsidRPr="00917355">
        <w:rPr>
          <w:rFonts w:ascii="Calibri" w:hAnsi="Calibri" w:cs="Calibri"/>
        </w:rPr>
        <w:t>Dias</w:t>
      </w:r>
      <w:proofErr w:type="spellEnd"/>
      <w:r w:rsidRPr="00917355">
        <w:rPr>
          <w:rFonts w:ascii="Calibri" w:hAnsi="Calibri" w:cs="Calibri"/>
        </w:rPr>
        <w:t xml:space="preserve">, J. G. (2025). </w:t>
      </w:r>
      <w:r w:rsidRPr="00917355">
        <w:rPr>
          <w:rFonts w:ascii="Calibri" w:hAnsi="Calibri" w:cs="Calibri"/>
          <w:lang w:val="en-US"/>
        </w:rPr>
        <w:t>Digital divide in the European Union: A typology of EU citizens. </w:t>
      </w:r>
      <w:r w:rsidRPr="00917355">
        <w:rPr>
          <w:rFonts w:ascii="Calibri" w:hAnsi="Calibri" w:cs="Calibri"/>
          <w:i/>
          <w:iCs/>
        </w:rPr>
        <w:t xml:space="preserve">Social </w:t>
      </w:r>
      <w:proofErr w:type="spellStart"/>
      <w:r w:rsidRPr="00917355">
        <w:rPr>
          <w:rFonts w:ascii="Calibri" w:hAnsi="Calibri" w:cs="Calibri"/>
          <w:i/>
          <w:iCs/>
        </w:rPr>
        <w:t>Indicators</w:t>
      </w:r>
      <w:proofErr w:type="spellEnd"/>
      <w:r w:rsidRPr="00917355">
        <w:rPr>
          <w:rFonts w:ascii="Calibri" w:hAnsi="Calibri" w:cs="Calibri"/>
          <w:i/>
          <w:iCs/>
        </w:rPr>
        <w:t xml:space="preserve"> Research</w:t>
      </w:r>
      <w:r w:rsidRPr="00917355">
        <w:rPr>
          <w:rFonts w:ascii="Calibri" w:hAnsi="Calibri" w:cs="Calibri"/>
        </w:rPr>
        <w:t>, </w:t>
      </w:r>
      <w:r w:rsidRPr="00917355">
        <w:rPr>
          <w:rFonts w:ascii="Calibri" w:hAnsi="Calibri" w:cs="Calibri"/>
          <w:i/>
          <w:iCs/>
        </w:rPr>
        <w:t>176</w:t>
      </w:r>
      <w:r w:rsidRPr="00917355">
        <w:rPr>
          <w:rFonts w:ascii="Calibri" w:hAnsi="Calibri" w:cs="Calibri"/>
        </w:rPr>
        <w:t>(1), 149-172.</w:t>
      </w:r>
    </w:p>
    <w:p w14:paraId="384929A0"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lang w:val="en-US"/>
        </w:rPr>
        <w:t>Hänska, M., &amp; Bauchowitz, S. (2019). Can social media facilitate a European public sphere? Transnational communication and the Europeanization of Twitter during the Eurozone crisis. </w:t>
      </w:r>
      <w:r w:rsidRPr="00917355">
        <w:rPr>
          <w:rFonts w:ascii="Calibri" w:hAnsi="Calibri" w:cs="Calibri"/>
          <w:i/>
          <w:iCs/>
        </w:rPr>
        <w:t xml:space="preserve">Social media+ </w:t>
      </w:r>
      <w:proofErr w:type="spellStart"/>
      <w:r w:rsidRPr="00917355">
        <w:rPr>
          <w:rFonts w:ascii="Calibri" w:hAnsi="Calibri" w:cs="Calibri"/>
          <w:i/>
          <w:iCs/>
        </w:rPr>
        <w:t>society</w:t>
      </w:r>
      <w:proofErr w:type="spellEnd"/>
      <w:r w:rsidRPr="00917355">
        <w:rPr>
          <w:rFonts w:ascii="Calibri" w:hAnsi="Calibri" w:cs="Calibri"/>
        </w:rPr>
        <w:t>, </w:t>
      </w:r>
      <w:r w:rsidRPr="00917355">
        <w:rPr>
          <w:rFonts w:ascii="Calibri" w:hAnsi="Calibri" w:cs="Calibri"/>
          <w:i/>
          <w:iCs/>
        </w:rPr>
        <w:t>5</w:t>
      </w:r>
      <w:r w:rsidRPr="00917355">
        <w:rPr>
          <w:rFonts w:ascii="Calibri" w:hAnsi="Calibri" w:cs="Calibri"/>
        </w:rPr>
        <w:t>(3).</w:t>
      </w:r>
    </w:p>
    <w:p w14:paraId="69CEBB0F" w14:textId="77777777" w:rsidR="00917355" w:rsidRPr="00917355" w:rsidRDefault="00917355" w:rsidP="00917355">
      <w:pPr>
        <w:pStyle w:val="Prrafodelista"/>
        <w:numPr>
          <w:ilvl w:val="0"/>
          <w:numId w:val="2"/>
        </w:numPr>
        <w:jc w:val="both"/>
        <w:rPr>
          <w:rFonts w:ascii="Calibri" w:hAnsi="Calibri" w:cs="Calibri"/>
          <w:lang w:val="en-US"/>
        </w:rPr>
      </w:pPr>
      <w:r w:rsidRPr="00917355">
        <w:rPr>
          <w:rFonts w:ascii="Calibri" w:hAnsi="Calibri" w:cs="Calibri"/>
        </w:rPr>
        <w:t xml:space="preserve">Hobolt, S. B., &amp; De Vries, C. E. (2016). </w:t>
      </w:r>
      <w:r w:rsidRPr="00917355">
        <w:rPr>
          <w:rFonts w:ascii="Calibri" w:hAnsi="Calibri" w:cs="Calibri"/>
          <w:lang w:val="en-US"/>
        </w:rPr>
        <w:t>Public support for European integration. </w:t>
      </w:r>
      <w:proofErr w:type="spellStart"/>
      <w:r w:rsidRPr="00917355">
        <w:rPr>
          <w:rFonts w:ascii="Calibri" w:hAnsi="Calibri" w:cs="Calibri"/>
          <w:i/>
          <w:iCs/>
        </w:rPr>
        <w:t>Annual</w:t>
      </w:r>
      <w:proofErr w:type="spellEnd"/>
      <w:r w:rsidRPr="00917355">
        <w:rPr>
          <w:rFonts w:ascii="Calibri" w:hAnsi="Calibri" w:cs="Calibri"/>
          <w:i/>
          <w:iCs/>
        </w:rPr>
        <w:t xml:space="preserve"> </w:t>
      </w:r>
      <w:proofErr w:type="spellStart"/>
      <w:r w:rsidRPr="00917355">
        <w:rPr>
          <w:rFonts w:ascii="Calibri" w:hAnsi="Calibri" w:cs="Calibri"/>
          <w:i/>
          <w:iCs/>
        </w:rPr>
        <w:t>Review</w:t>
      </w:r>
      <w:proofErr w:type="spellEnd"/>
      <w:r w:rsidRPr="00917355">
        <w:rPr>
          <w:rFonts w:ascii="Calibri" w:hAnsi="Calibri" w:cs="Calibri"/>
          <w:i/>
          <w:iCs/>
        </w:rPr>
        <w:t xml:space="preserve"> of Political </w:t>
      </w:r>
      <w:proofErr w:type="spellStart"/>
      <w:r w:rsidRPr="00917355">
        <w:rPr>
          <w:rFonts w:ascii="Calibri" w:hAnsi="Calibri" w:cs="Calibri"/>
          <w:i/>
          <w:iCs/>
        </w:rPr>
        <w:t>Science</w:t>
      </w:r>
      <w:proofErr w:type="spellEnd"/>
      <w:r w:rsidRPr="00917355">
        <w:rPr>
          <w:rFonts w:ascii="Calibri" w:hAnsi="Calibri" w:cs="Calibri"/>
        </w:rPr>
        <w:t>, </w:t>
      </w:r>
      <w:r w:rsidRPr="00917355">
        <w:rPr>
          <w:rFonts w:ascii="Calibri" w:hAnsi="Calibri" w:cs="Calibri"/>
          <w:i/>
          <w:iCs/>
        </w:rPr>
        <w:t>19</w:t>
      </w:r>
      <w:r w:rsidRPr="00917355">
        <w:rPr>
          <w:rFonts w:ascii="Calibri" w:hAnsi="Calibri" w:cs="Calibri"/>
        </w:rPr>
        <w:t>(1), 413-432.</w:t>
      </w:r>
    </w:p>
    <w:p w14:paraId="3AEB29C8" w14:textId="77777777" w:rsidR="00917355" w:rsidRPr="00917355" w:rsidRDefault="00917355" w:rsidP="00917355">
      <w:pPr>
        <w:jc w:val="both"/>
        <w:rPr>
          <w:rFonts w:ascii="Calibri" w:hAnsi="Calibri" w:cs="Calibri"/>
          <w:b/>
          <w:bCs/>
          <w:lang w:val="en-US"/>
        </w:rPr>
      </w:pPr>
    </w:p>
    <w:p w14:paraId="556B5BEA" w14:textId="77777777" w:rsidR="00260F86" w:rsidRPr="00917355" w:rsidRDefault="00260F86" w:rsidP="00917355"/>
    <w:sectPr w:rsidR="00260F86" w:rsidRPr="00917355" w:rsidSect="00AB682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90E833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886D46"/>
    <w:multiLevelType w:val="hybridMultilevel"/>
    <w:tmpl w:val="F202C964"/>
    <w:lvl w:ilvl="0" w:tplc="040A0001">
      <w:start w:val="1"/>
      <w:numFmt w:val="bullet"/>
      <w:lvlText w:val=""/>
      <w:lvlJc w:val="left"/>
      <w:pPr>
        <w:ind w:left="720" w:hanging="360"/>
      </w:pPr>
      <w:rPr>
        <w:rFonts w:ascii="Symbol" w:hAnsi="Symbol"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31160F8"/>
    <w:multiLevelType w:val="hybridMultilevel"/>
    <w:tmpl w:val="D5E42060"/>
    <w:lvl w:ilvl="0" w:tplc="AE5A5DAA">
      <w:start w:val="2"/>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1F50793"/>
    <w:multiLevelType w:val="hybridMultilevel"/>
    <w:tmpl w:val="10BE8C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4FF76DD1"/>
    <w:multiLevelType w:val="hybridMultilevel"/>
    <w:tmpl w:val="6CA8E488"/>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04D61A1"/>
    <w:multiLevelType w:val="hybridMultilevel"/>
    <w:tmpl w:val="349A69A6"/>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D172C4"/>
    <w:multiLevelType w:val="hybridMultilevel"/>
    <w:tmpl w:val="BA20D24E"/>
    <w:lvl w:ilvl="0" w:tplc="57B4FD02">
      <w:start w:val="2"/>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61D0F15"/>
    <w:multiLevelType w:val="hybridMultilevel"/>
    <w:tmpl w:val="58B44E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98866078">
    <w:abstractNumId w:val="3"/>
  </w:num>
  <w:num w:numId="2" w16cid:durableId="127478528">
    <w:abstractNumId w:val="2"/>
  </w:num>
  <w:num w:numId="3" w16cid:durableId="626081740">
    <w:abstractNumId w:val="6"/>
  </w:num>
  <w:num w:numId="4" w16cid:durableId="1174608215">
    <w:abstractNumId w:val="0"/>
  </w:num>
  <w:num w:numId="5" w16cid:durableId="1040595939">
    <w:abstractNumId w:val="4"/>
  </w:num>
  <w:num w:numId="6" w16cid:durableId="819930016">
    <w:abstractNumId w:val="5"/>
  </w:num>
  <w:num w:numId="7" w16cid:durableId="1295214866">
    <w:abstractNumId w:val="1"/>
  </w:num>
  <w:num w:numId="8" w16cid:durableId="1506705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522"/>
    <w:rsid w:val="00065F67"/>
    <w:rsid w:val="001A3172"/>
    <w:rsid w:val="00220E9A"/>
    <w:rsid w:val="00260F86"/>
    <w:rsid w:val="004552D5"/>
    <w:rsid w:val="004C1850"/>
    <w:rsid w:val="004E5354"/>
    <w:rsid w:val="00617648"/>
    <w:rsid w:val="0070115A"/>
    <w:rsid w:val="00705DAC"/>
    <w:rsid w:val="007B3522"/>
    <w:rsid w:val="00917355"/>
    <w:rsid w:val="00A47943"/>
    <w:rsid w:val="00AB0702"/>
    <w:rsid w:val="00AB682C"/>
    <w:rsid w:val="00D271FE"/>
    <w:rsid w:val="00D42BC9"/>
    <w:rsid w:val="00F757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05CF484"/>
  <w15:chartTrackingRefBased/>
  <w15:docId w15:val="{2E54411F-157C-D641-9697-A943DEA0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3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B3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52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52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52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52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5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35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35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B35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5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5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5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5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522"/>
    <w:rPr>
      <w:rFonts w:eastAsiaTheme="majorEastAsia" w:cstheme="majorBidi"/>
      <w:color w:val="272727" w:themeColor="text1" w:themeTint="D8"/>
    </w:rPr>
  </w:style>
  <w:style w:type="paragraph" w:styleId="Ttulo">
    <w:name w:val="Title"/>
    <w:basedOn w:val="Normal"/>
    <w:next w:val="Normal"/>
    <w:link w:val="TtuloCar"/>
    <w:uiPriority w:val="10"/>
    <w:qFormat/>
    <w:rsid w:val="007B352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52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5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52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B3522"/>
    <w:rPr>
      <w:i/>
      <w:iCs/>
      <w:color w:val="404040" w:themeColor="text1" w:themeTint="BF"/>
    </w:rPr>
  </w:style>
  <w:style w:type="paragraph" w:styleId="Prrafodelista">
    <w:name w:val="List Paragraph"/>
    <w:basedOn w:val="Normal"/>
    <w:uiPriority w:val="34"/>
    <w:qFormat/>
    <w:rsid w:val="007B3522"/>
    <w:pPr>
      <w:ind w:left="720"/>
      <w:contextualSpacing/>
    </w:pPr>
  </w:style>
  <w:style w:type="character" w:styleId="nfasisintenso">
    <w:name w:val="Intense Emphasis"/>
    <w:basedOn w:val="Fuentedeprrafopredeter"/>
    <w:uiPriority w:val="21"/>
    <w:qFormat/>
    <w:rsid w:val="007B3522"/>
    <w:rPr>
      <w:i/>
      <w:iCs/>
      <w:color w:val="0F4761" w:themeColor="accent1" w:themeShade="BF"/>
    </w:rPr>
  </w:style>
  <w:style w:type="paragraph" w:styleId="Citadestacada">
    <w:name w:val="Intense Quote"/>
    <w:basedOn w:val="Normal"/>
    <w:next w:val="Normal"/>
    <w:link w:val="CitadestacadaCar"/>
    <w:uiPriority w:val="30"/>
    <w:qFormat/>
    <w:rsid w:val="007B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522"/>
    <w:rPr>
      <w:i/>
      <w:iCs/>
      <w:color w:val="0F4761" w:themeColor="accent1" w:themeShade="BF"/>
    </w:rPr>
  </w:style>
  <w:style w:type="character" w:styleId="Referenciaintensa">
    <w:name w:val="Intense Reference"/>
    <w:basedOn w:val="Fuentedeprrafopredeter"/>
    <w:uiPriority w:val="32"/>
    <w:qFormat/>
    <w:rsid w:val="007B3522"/>
    <w:rPr>
      <w:b/>
      <w:bCs/>
      <w:smallCaps/>
      <w:color w:val="0F4761" w:themeColor="accent1" w:themeShade="BF"/>
      <w:spacing w:val="5"/>
    </w:rPr>
  </w:style>
  <w:style w:type="character" w:styleId="Hipervnculo">
    <w:name w:val="Hyperlink"/>
    <w:basedOn w:val="Fuentedeprrafopredeter"/>
    <w:uiPriority w:val="99"/>
    <w:unhideWhenUsed/>
    <w:rsid w:val="007B3522"/>
    <w:rPr>
      <w:color w:val="467886" w:themeColor="hyperlink"/>
      <w:u w:val="single"/>
    </w:rPr>
  </w:style>
  <w:style w:type="character" w:styleId="Mencinsinresolver">
    <w:name w:val="Unresolved Mention"/>
    <w:basedOn w:val="Fuentedeprrafopredeter"/>
    <w:uiPriority w:val="99"/>
    <w:semiHidden/>
    <w:unhideWhenUsed/>
    <w:rsid w:val="007B3522"/>
    <w:rPr>
      <w:color w:val="605E5C"/>
      <w:shd w:val="clear" w:color="auto" w:fill="E1DFDD"/>
    </w:rPr>
  </w:style>
  <w:style w:type="paragraph" w:styleId="Listaconvietas">
    <w:name w:val="List Bullet"/>
    <w:basedOn w:val="Normal"/>
    <w:uiPriority w:val="99"/>
    <w:unhideWhenUsed/>
    <w:rsid w:val="00617648"/>
    <w:pPr>
      <w:numPr>
        <w:numId w:val="4"/>
      </w:numPr>
      <w:spacing w:after="200" w:line="276" w:lineRule="auto"/>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388335">
      <w:bodyDiv w:val="1"/>
      <w:marLeft w:val="0"/>
      <w:marRight w:val="0"/>
      <w:marTop w:val="0"/>
      <w:marBottom w:val="0"/>
      <w:divBdr>
        <w:top w:val="none" w:sz="0" w:space="0" w:color="auto"/>
        <w:left w:val="none" w:sz="0" w:space="0" w:color="auto"/>
        <w:bottom w:val="none" w:sz="0" w:space="0" w:color="auto"/>
        <w:right w:val="none" w:sz="0" w:space="0" w:color="auto"/>
      </w:divBdr>
    </w:div>
    <w:div w:id="233128549">
      <w:bodyDiv w:val="1"/>
      <w:marLeft w:val="0"/>
      <w:marRight w:val="0"/>
      <w:marTop w:val="0"/>
      <w:marBottom w:val="0"/>
      <w:divBdr>
        <w:top w:val="none" w:sz="0" w:space="0" w:color="auto"/>
        <w:left w:val="none" w:sz="0" w:space="0" w:color="auto"/>
        <w:bottom w:val="none" w:sz="0" w:space="0" w:color="auto"/>
        <w:right w:val="none" w:sz="0" w:space="0" w:color="auto"/>
      </w:divBdr>
    </w:div>
    <w:div w:id="250435763">
      <w:bodyDiv w:val="1"/>
      <w:marLeft w:val="0"/>
      <w:marRight w:val="0"/>
      <w:marTop w:val="0"/>
      <w:marBottom w:val="0"/>
      <w:divBdr>
        <w:top w:val="none" w:sz="0" w:space="0" w:color="auto"/>
        <w:left w:val="none" w:sz="0" w:space="0" w:color="auto"/>
        <w:bottom w:val="none" w:sz="0" w:space="0" w:color="auto"/>
        <w:right w:val="none" w:sz="0" w:space="0" w:color="auto"/>
      </w:divBdr>
    </w:div>
    <w:div w:id="360937663">
      <w:bodyDiv w:val="1"/>
      <w:marLeft w:val="0"/>
      <w:marRight w:val="0"/>
      <w:marTop w:val="0"/>
      <w:marBottom w:val="0"/>
      <w:divBdr>
        <w:top w:val="none" w:sz="0" w:space="0" w:color="auto"/>
        <w:left w:val="none" w:sz="0" w:space="0" w:color="auto"/>
        <w:bottom w:val="none" w:sz="0" w:space="0" w:color="auto"/>
        <w:right w:val="none" w:sz="0" w:space="0" w:color="auto"/>
      </w:divBdr>
    </w:div>
    <w:div w:id="431901830">
      <w:bodyDiv w:val="1"/>
      <w:marLeft w:val="0"/>
      <w:marRight w:val="0"/>
      <w:marTop w:val="0"/>
      <w:marBottom w:val="0"/>
      <w:divBdr>
        <w:top w:val="none" w:sz="0" w:space="0" w:color="auto"/>
        <w:left w:val="none" w:sz="0" w:space="0" w:color="auto"/>
        <w:bottom w:val="none" w:sz="0" w:space="0" w:color="auto"/>
        <w:right w:val="none" w:sz="0" w:space="0" w:color="auto"/>
      </w:divBdr>
    </w:div>
    <w:div w:id="763496248">
      <w:bodyDiv w:val="1"/>
      <w:marLeft w:val="0"/>
      <w:marRight w:val="0"/>
      <w:marTop w:val="0"/>
      <w:marBottom w:val="0"/>
      <w:divBdr>
        <w:top w:val="none" w:sz="0" w:space="0" w:color="auto"/>
        <w:left w:val="none" w:sz="0" w:space="0" w:color="auto"/>
        <w:bottom w:val="none" w:sz="0" w:space="0" w:color="auto"/>
        <w:right w:val="none" w:sz="0" w:space="0" w:color="auto"/>
      </w:divBdr>
    </w:div>
    <w:div w:id="1016422507">
      <w:bodyDiv w:val="1"/>
      <w:marLeft w:val="0"/>
      <w:marRight w:val="0"/>
      <w:marTop w:val="0"/>
      <w:marBottom w:val="0"/>
      <w:divBdr>
        <w:top w:val="none" w:sz="0" w:space="0" w:color="auto"/>
        <w:left w:val="none" w:sz="0" w:space="0" w:color="auto"/>
        <w:bottom w:val="none" w:sz="0" w:space="0" w:color="auto"/>
        <w:right w:val="none" w:sz="0" w:space="0" w:color="auto"/>
      </w:divBdr>
    </w:div>
    <w:div w:id="1072580963">
      <w:bodyDiv w:val="1"/>
      <w:marLeft w:val="0"/>
      <w:marRight w:val="0"/>
      <w:marTop w:val="0"/>
      <w:marBottom w:val="0"/>
      <w:divBdr>
        <w:top w:val="none" w:sz="0" w:space="0" w:color="auto"/>
        <w:left w:val="none" w:sz="0" w:space="0" w:color="auto"/>
        <w:bottom w:val="none" w:sz="0" w:space="0" w:color="auto"/>
        <w:right w:val="none" w:sz="0" w:space="0" w:color="auto"/>
      </w:divBdr>
    </w:div>
    <w:div w:id="1190533258">
      <w:bodyDiv w:val="1"/>
      <w:marLeft w:val="0"/>
      <w:marRight w:val="0"/>
      <w:marTop w:val="0"/>
      <w:marBottom w:val="0"/>
      <w:divBdr>
        <w:top w:val="none" w:sz="0" w:space="0" w:color="auto"/>
        <w:left w:val="none" w:sz="0" w:space="0" w:color="auto"/>
        <w:bottom w:val="none" w:sz="0" w:space="0" w:color="auto"/>
        <w:right w:val="none" w:sz="0" w:space="0" w:color="auto"/>
      </w:divBdr>
    </w:div>
    <w:div w:id="1243031870">
      <w:bodyDiv w:val="1"/>
      <w:marLeft w:val="0"/>
      <w:marRight w:val="0"/>
      <w:marTop w:val="0"/>
      <w:marBottom w:val="0"/>
      <w:divBdr>
        <w:top w:val="none" w:sz="0" w:space="0" w:color="auto"/>
        <w:left w:val="none" w:sz="0" w:space="0" w:color="auto"/>
        <w:bottom w:val="none" w:sz="0" w:space="0" w:color="auto"/>
        <w:right w:val="none" w:sz="0" w:space="0" w:color="auto"/>
      </w:divBdr>
    </w:div>
    <w:div w:id="1334988522">
      <w:bodyDiv w:val="1"/>
      <w:marLeft w:val="0"/>
      <w:marRight w:val="0"/>
      <w:marTop w:val="0"/>
      <w:marBottom w:val="0"/>
      <w:divBdr>
        <w:top w:val="none" w:sz="0" w:space="0" w:color="auto"/>
        <w:left w:val="none" w:sz="0" w:space="0" w:color="auto"/>
        <w:bottom w:val="none" w:sz="0" w:space="0" w:color="auto"/>
        <w:right w:val="none" w:sz="0" w:space="0" w:color="auto"/>
      </w:divBdr>
    </w:div>
    <w:div w:id="1402677515">
      <w:bodyDiv w:val="1"/>
      <w:marLeft w:val="0"/>
      <w:marRight w:val="0"/>
      <w:marTop w:val="0"/>
      <w:marBottom w:val="0"/>
      <w:divBdr>
        <w:top w:val="none" w:sz="0" w:space="0" w:color="auto"/>
        <w:left w:val="none" w:sz="0" w:space="0" w:color="auto"/>
        <w:bottom w:val="none" w:sz="0" w:space="0" w:color="auto"/>
        <w:right w:val="none" w:sz="0" w:space="0" w:color="auto"/>
      </w:divBdr>
    </w:div>
    <w:div w:id="1504666395">
      <w:bodyDiv w:val="1"/>
      <w:marLeft w:val="0"/>
      <w:marRight w:val="0"/>
      <w:marTop w:val="0"/>
      <w:marBottom w:val="0"/>
      <w:divBdr>
        <w:top w:val="none" w:sz="0" w:space="0" w:color="auto"/>
        <w:left w:val="none" w:sz="0" w:space="0" w:color="auto"/>
        <w:bottom w:val="none" w:sz="0" w:space="0" w:color="auto"/>
        <w:right w:val="none" w:sz="0" w:space="0" w:color="auto"/>
      </w:divBdr>
    </w:div>
    <w:div w:id="1680962381">
      <w:bodyDiv w:val="1"/>
      <w:marLeft w:val="0"/>
      <w:marRight w:val="0"/>
      <w:marTop w:val="0"/>
      <w:marBottom w:val="0"/>
      <w:divBdr>
        <w:top w:val="none" w:sz="0" w:space="0" w:color="auto"/>
        <w:left w:val="none" w:sz="0" w:space="0" w:color="auto"/>
        <w:bottom w:val="none" w:sz="0" w:space="0" w:color="auto"/>
        <w:right w:val="none" w:sz="0" w:space="0" w:color="auto"/>
      </w:divBdr>
    </w:div>
    <w:div w:id="1807433769">
      <w:bodyDiv w:val="1"/>
      <w:marLeft w:val="0"/>
      <w:marRight w:val="0"/>
      <w:marTop w:val="0"/>
      <w:marBottom w:val="0"/>
      <w:divBdr>
        <w:top w:val="none" w:sz="0" w:space="0" w:color="auto"/>
        <w:left w:val="none" w:sz="0" w:space="0" w:color="auto"/>
        <w:bottom w:val="none" w:sz="0" w:space="0" w:color="auto"/>
        <w:right w:val="none" w:sz="0" w:space="0" w:color="auto"/>
      </w:divBdr>
    </w:div>
    <w:div w:id="194395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232/1.1470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1073</Words>
  <Characters>5903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Tamayo Sanz</dc:creator>
  <cp:keywords/>
  <dc:description/>
  <cp:lastModifiedBy>Mario Tamayo Sanz</cp:lastModifiedBy>
  <cp:revision>6</cp:revision>
  <dcterms:created xsi:type="dcterms:W3CDTF">2026-04-19T18:17:00Z</dcterms:created>
  <dcterms:modified xsi:type="dcterms:W3CDTF">2026-04-20T06:39:00Z</dcterms:modified>
</cp:coreProperties>
</file>