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23FE83">
      <w:pPr>
        <w:pStyle w:val="12"/>
        <w:jc w:val="both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OpenSciEval Scientific Creativity Evaluation Guide Template</w:t>
      </w:r>
    </w:p>
    <w:p w14:paraId="04AC3169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OpenSciEval Scientific Creativity Evaluation Guide Template</w:t>
      </w:r>
    </w:p>
    <w:p w14:paraId="4E9A5EC4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Version:</w:t>
      </w:r>
      <w:r>
        <w:rPr>
          <w:rFonts w:hint="default" w:ascii="Times New Roman" w:hAnsi="Times New Roman" w:cs="Times New Roman"/>
          <w:sz w:val="21"/>
          <w:szCs w:val="21"/>
        </w:rPr>
        <w:t xml:space="preserve"> 1.0</w:t>
      </w:r>
    </w:p>
    <w:p w14:paraId="66E175FE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Target Audience:</w:t>
      </w:r>
      <w:r>
        <w:rPr>
          <w:rFonts w:hint="default" w:ascii="Times New Roman" w:hAnsi="Times New Roman" w:cs="Times New Roman"/>
          <w:sz w:val="21"/>
          <w:szCs w:val="21"/>
        </w:rPr>
        <w:t xml:space="preserve"> Large Language Models / AI Scientific Agents</w:t>
      </w:r>
    </w:p>
    <w:p w14:paraId="2297B4E7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Evaluation Goal:</w:t>
      </w:r>
      <w:r>
        <w:rPr>
          <w:rFonts w:hint="default" w:ascii="Times New Roman" w:hAnsi="Times New Roman" w:cs="Times New Roman"/>
          <w:sz w:val="21"/>
          <w:szCs w:val="21"/>
        </w:rPr>
        <w:t xml:space="preserve"> To measure AI's ability to complete the full process of "Problem Definition → Model Construction → Hypothesis Generation" in open scientific problems.</w:t>
      </w:r>
    </w:p>
    <w:p w14:paraId="4E8CD296">
      <w:pPr>
        <w:pStyle w:val="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1. Problem Background</w:t>
      </w:r>
    </w:p>
    <w:p w14:paraId="0629CF06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[Describe an open scientific puzzle with interdisciplinary tension here. Highlight the contradiction between "surface phenomena vs. deep mechanisms" and imply a potential explanatory perspective from another field. Avoid providing answers or standard paths.]</w:t>
      </w:r>
    </w:p>
    <w:p w14:paraId="36C6A3E6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Example (Primes–Chaos):</w:t>
      </w:r>
    </w:p>
    <w:p w14:paraId="38758F8F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distribution of prime numbers among natural numbers presents high irregularity; it appears random yet is governed by strict arithmetic rules. For a long time, mathematicians have sought a balance between probabilistic models and deterministic structures. Recently, developments in nonlinear dynamics suggest: Could this "pseudo-randomness" stem from the chaotic behavior of a low-dimensional deterministic system? This challenge invites you to explore this bold conjecture.</w:t>
      </w:r>
    </w:p>
    <w:p w14:paraId="44645FBB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Core Goal:</w:t>
      </w:r>
      <w:r>
        <w:rPr>
          <w:rFonts w:hint="default" w:ascii="Times New Roman" w:hAnsi="Times New Roman" w:cs="Times New Roman"/>
          <w:sz w:val="21"/>
          <w:szCs w:val="21"/>
        </w:rPr>
        <w:t xml:space="preserve"> To help the AI understand the antecedents, consequences, and scientific significance of the problem, which is a prerequisite for sparking meaningful exploration.</w:t>
      </w:r>
    </w:p>
    <w:p w14:paraId="32BE9191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Prompt Design Points:</w:t>
      </w:r>
      <w:r>
        <w:rPr>
          <w:rFonts w:hint="default" w:ascii="Times New Roman" w:hAnsi="Times New Roman" w:cs="Times New Roman"/>
          <w:sz w:val="21"/>
          <w:szCs w:val="21"/>
        </w:rPr>
        <w:t xml:space="preserve"> Use narrative, heuristic language to create a "scientific puzzle" atmosphere, avoiding direct questioning or providing answers.</w:t>
      </w:r>
    </w:p>
    <w:p w14:paraId="4EB8534B">
      <w:pPr>
        <w:pStyle w:val="19"/>
        <w:jc w:val="both"/>
        <w:rPr>
          <w:rFonts w:hint="default" w:ascii="Times New Roman" w:hAnsi="Times New Roman" w:cs="Times New Roman"/>
          <w:sz w:val="21"/>
          <w:szCs w:val="21"/>
        </w:rPr>
      </w:pPr>
    </w:p>
    <w:p w14:paraId="058DA40B">
      <w:pPr>
        <w:pStyle w:val="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2. Theoretical Basis &amp; Cognitive Scaffolding</w:t>
      </w:r>
    </w:p>
    <w:p w14:paraId="0E2AF169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[Provide basic knowledge preparation; it is recommended to offer high-level conceptual analogies from two fields here as a "cognitive bridge" for modeling, or other similar basic domain knowledge. Each concept needs to be explained in intuitive language, avoiding a pile-up of formulas or professional jargon.]</w:t>
      </w:r>
    </w:p>
    <w:p w14:paraId="25265F3A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Example:</w:t>
      </w:r>
    </w:p>
    <w:p w14:paraId="44F318E1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Domain A (e.g., Number Theory):</w:t>
      </w:r>
      <w:r>
        <w:rPr>
          <w:rFonts w:hint="default" w:ascii="Times New Roman" w:hAnsi="Times New Roman" w:cs="Times New Roman"/>
          <w:sz w:val="21"/>
          <w:szCs w:val="21"/>
        </w:rPr>
        <w:t xml:space="preserve"> The Sieve of Eratosthenes can be understood as a dynamic process—each prime acts like a periodic "action source," constantly "clearing" its multiple positions.</w:t>
      </w:r>
    </w:p>
    <w:p w14:paraId="5644134E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Domain B (e.g., Dynamics):</w:t>
      </w:r>
      <w:r>
        <w:rPr>
          <w:rFonts w:hint="default" w:ascii="Times New Roman" w:hAnsi="Times New Roman" w:cs="Times New Roman"/>
          <w:sz w:val="21"/>
          <w:szCs w:val="21"/>
        </w:rPr>
        <w:t xml:space="preserve"> Symbolic dynamics allows us to translate the orbits of continuous systems into discrete symbol sequences, thereby capturing their topological structure.</w:t>
      </w:r>
    </w:p>
    <w:p w14:paraId="40542E59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Core Goal:</w:t>
      </w:r>
      <w:r>
        <w:rPr>
          <w:rFonts w:hint="default" w:ascii="Times New Roman" w:hAnsi="Times New Roman" w:cs="Times New Roman"/>
          <w:sz w:val="21"/>
          <w:szCs w:val="21"/>
        </w:rPr>
        <w:t xml:space="preserve"> To provide the AI with transferable thinking tools rather than specific answers, thereby supporting it in autonomously constructing an explanatory framework.</w:t>
      </w:r>
    </w:p>
    <w:p w14:paraId="1CEAA5EA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Prompt Design Points:</w:t>
      </w:r>
      <w:r>
        <w:rPr>
          <w:rFonts w:hint="default" w:ascii="Times New Roman" w:hAnsi="Times New Roman" w:cs="Times New Roman"/>
          <w:sz w:val="21"/>
          <w:szCs w:val="21"/>
        </w:rPr>
        <w:t xml:space="preserve"> Convey abstract concepts via "analogies," "perspectives," and "metaphors," adopting a Zero-Shot CoT style to provide definitions without demonstrating reasoning.</w:t>
      </w:r>
    </w:p>
    <w:p w14:paraId="1EE2B6A2">
      <w:pPr>
        <w:pStyle w:val="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3. Core Construction &amp; Heuristic Exploration</w:t>
      </w:r>
    </w:p>
    <w:p w14:paraId="71B7BDE7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[Here, guide the model to dynamize the static problem and encourage it to propose cross-domain isomorphic conjectures. This can be supplemented with key visual materials (such as schematic diagrams, statistical charts) as multi-modal context.]</w:t>
      </w:r>
    </w:p>
    <w:p w14:paraId="71020384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Example:</w:t>
      </w:r>
    </w:p>
    <w:p w14:paraId="428D17A3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Try to reconstruct the sieve method as a wave interference process: each prime emits a periodic "extinction wave," and the state of the integer axis is determined by superposition. Furthermore, encode this process using simple rules (such as "keep/remove"). As more primes join, the system moves from rules to complexity.</w:t>
      </w:r>
    </w:p>
    <w:p w14:paraId="4DBB06FF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Heuristic Conjecture:</w:t>
      </w:r>
      <w:r>
        <w:rPr>
          <w:rFonts w:hint="default" w:ascii="Times New Roman" w:hAnsi="Times New Roman" w:cs="Times New Roman"/>
          <w:sz w:val="21"/>
          <w:szCs w:val="21"/>
        </w:rPr>
        <w:t xml:space="preserve"> Does this symbol sequence macroscopically approach the typical orbit of a certain class of chaotic systems?</w:t>
      </w:r>
    </w:p>
    <w:p w14:paraId="247FE9D1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[Insert Figure 1: Schematic of Symbol Sequence Evolution]</w:t>
      </w:r>
    </w:p>
    <w:p w14:paraId="1745FE85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[Insert Figure 2: Prime Gaps vs. Chaotic Orbit Gaps Statistical Comparison]</w:t>
      </w:r>
    </w:p>
    <w:p w14:paraId="617890CC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Core Goal:</w:t>
      </w:r>
      <w:r>
        <w:rPr>
          <w:rFonts w:hint="default" w:ascii="Times New Roman" w:hAnsi="Times New Roman" w:cs="Times New Roman"/>
          <w:sz w:val="21"/>
          <w:szCs w:val="21"/>
        </w:rPr>
        <w:t xml:space="preserve"> To stimulate the AI to synchronously generate and verify original hypotheses during the modeling process, reflecting the dynamic nature of scientific discovery.</w:t>
      </w:r>
    </w:p>
    <w:p w14:paraId="25EB2305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Prompt Design Points:</w:t>
      </w:r>
      <w:r>
        <w:rPr>
          <w:rFonts w:hint="default" w:ascii="Times New Roman" w:hAnsi="Times New Roman" w:cs="Times New Roman"/>
          <w:sz w:val="21"/>
          <w:szCs w:val="21"/>
        </w:rPr>
        <w:t xml:space="preserve"> Guide abductive reasoning through open-ended instructions like "Please try to reconstruct..." or "Can you conceive a mechanism...", and use images as context, requiring the model to "analyze patterns combining the illustrations."</w:t>
      </w:r>
    </w:p>
    <w:p w14:paraId="6DDE4BA4">
      <w:pPr>
        <w:pStyle w:val="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4. Execution Pathway &amp; Validation Protocol</w:t>
      </w:r>
    </w:p>
    <w:p w14:paraId="68D7943B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The AI is required to complete the task progressively in the following three phases. Each phase has specific output requirements:</w:t>
      </w:r>
    </w:p>
    <w:p w14:paraId="1BDF237F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5"/>
          <w:rFonts w:hint="default" w:ascii="Times New Roman" w:hAnsi="Times New Roman" w:cs="Times New Roman"/>
          <w:b/>
          <w:bCs/>
          <w:sz w:val="21"/>
          <w:szCs w:val="21"/>
        </w:rPr>
        <w:t>▶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 Phase 1: Basic Theory Perfection</w:t>
      </w:r>
    </w:p>
    <w:p w14:paraId="0C027ECA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Task:</w:t>
      </w:r>
      <w:r>
        <w:rPr>
          <w:rFonts w:hint="default" w:ascii="Times New Roman" w:hAnsi="Times New Roman" w:cs="Times New Roman"/>
          <w:sz w:val="21"/>
          <w:szCs w:val="21"/>
        </w:rPr>
        <w:t xml:space="preserve"> Construct a formal description framework.</w:t>
      </w:r>
    </w:p>
    <w:p w14:paraId="0D2AC256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Output Requirements:</w:t>
      </w:r>
    </w:p>
    <w:p w14:paraId="0B4B08DF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Define core objects (e.g., states, rules, evolution mechanisms) in natural language;</w:t>
      </w:r>
    </w:p>
    <w:p w14:paraId="3E43DF17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Formally express key relationships (using pseudo-code or mathematical formulas);</w:t>
      </w:r>
    </w:p>
    <w:p w14:paraId="36DB638E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Provide a logical deduction or argumentation chain for one key property;</w:t>
      </w:r>
    </w:p>
    <w:p w14:paraId="572C2EFB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(Optional) Provide Lean/Coq fragments to verify type validity.</w:t>
      </w:r>
    </w:p>
    <w:p w14:paraId="0914DCBF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Prohibited:</w:t>
      </w:r>
      <w:r>
        <w:rPr>
          <w:rFonts w:hint="default" w:ascii="Times New Roman" w:hAnsi="Times New Roman" w:cs="Times New Roman"/>
          <w:sz w:val="21"/>
          <w:szCs w:val="21"/>
        </w:rPr>
        <w:t xml:space="preserve"> Merely repeating background information or using "obviously" to skip reasoning.</w:t>
      </w:r>
    </w:p>
    <w:p w14:paraId="50552393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5"/>
          <w:rFonts w:hint="default" w:ascii="Times New Roman" w:hAnsi="Times New Roman" w:cs="Times New Roman"/>
          <w:b/>
          <w:bCs/>
          <w:sz w:val="21"/>
          <w:szCs w:val="21"/>
        </w:rPr>
        <w:t>▶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 Phase 2: Numerical Validation &amp; Heuristics</w:t>
      </w:r>
    </w:p>
    <w:p w14:paraId="000DA780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Task:</w:t>
      </w:r>
      <w:r>
        <w:rPr>
          <w:rFonts w:hint="default" w:ascii="Times New Roman" w:hAnsi="Times New Roman" w:cs="Times New Roman"/>
          <w:sz w:val="21"/>
          <w:szCs w:val="21"/>
        </w:rPr>
        <w:t xml:space="preserve"> Design a reproducible experiment to verify the conjecture.</w:t>
      </w:r>
    </w:p>
    <w:p w14:paraId="29603C6D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Output Requirements:</w:t>
      </w:r>
    </w:p>
    <w:p w14:paraId="38AA272D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Complete, runnable code (Python/Matlab) that generates data and calculates statistics;</w:t>
      </w:r>
    </w:p>
    <w:p w14:paraId="23A0377A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Summary of numerical results (including key metrics and error analysis);</w:t>
      </w:r>
    </w:p>
    <w:p w14:paraId="425292B5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Explanation of whether phenomena support the conjecture, combined with charts.</w:t>
      </w:r>
    </w:p>
    <w:p w14:paraId="3A884C8F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Prohibited:</w:t>
      </w:r>
      <w:r>
        <w:rPr>
          <w:rFonts w:hint="default" w:ascii="Times New Roman" w:hAnsi="Times New Roman" w:cs="Times New Roman"/>
          <w:sz w:val="21"/>
          <w:szCs w:val="21"/>
        </w:rPr>
        <w:t xml:space="preserve"> No code, irreproducible code, or lack of quantitative evidence.</w:t>
      </w:r>
    </w:p>
    <w:p w14:paraId="0E0DBDE0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Style w:val="15"/>
          <w:rFonts w:hint="default" w:ascii="Times New Roman" w:hAnsi="Times New Roman" w:cs="Times New Roman"/>
          <w:b/>
          <w:bCs/>
          <w:sz w:val="21"/>
          <w:szCs w:val="21"/>
        </w:rPr>
        <w:t>▶</w:t>
      </w:r>
      <w:r>
        <w:rPr>
          <w:rFonts w:hint="default" w:ascii="Times New Roman" w:hAnsi="Times New Roman" w:cs="Times New Roman"/>
          <w:b/>
          <w:bCs/>
          <w:sz w:val="21"/>
          <w:szCs w:val="21"/>
        </w:rPr>
        <w:t xml:space="preserve"> Phase 3: Extended Proof &amp; Theory Correction</w:t>
      </w:r>
    </w:p>
    <w:p w14:paraId="6B7C7FF5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Task:</w:t>
      </w:r>
      <w:r>
        <w:rPr>
          <w:rFonts w:hint="default" w:ascii="Times New Roman" w:hAnsi="Times New Roman" w:cs="Times New Roman"/>
          <w:sz w:val="21"/>
          <w:szCs w:val="21"/>
        </w:rPr>
        <w:t xml:space="preserve"> Identify limitations and propose new directions.</w:t>
      </w:r>
    </w:p>
    <w:p w14:paraId="76C8BC14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Output Requirements:</w:t>
      </w:r>
    </w:p>
    <w:p w14:paraId="54C98236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Explicitly point out biases or hypothesis defects in the current model;</w:t>
      </w:r>
    </w:p>
    <w:p w14:paraId="5A4AF5BA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Propose at least one original extension (new mechanism/correction/cross-conjecture connection);</w:t>
      </w:r>
    </w:p>
    <w:p w14:paraId="1ECBDC9F">
      <w:pPr>
        <w:numPr>
          <w:ilvl w:val="1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Provide preliminary arguments (formula drafts, analogies, numerical evidence, etc.).</w:t>
      </w:r>
    </w:p>
    <w:p w14:paraId="29C4F39D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Prohibited:</w:t>
      </w:r>
      <w:r>
        <w:rPr>
          <w:rFonts w:hint="default" w:ascii="Times New Roman" w:hAnsi="Times New Roman" w:cs="Times New Roman"/>
          <w:sz w:val="21"/>
          <w:szCs w:val="21"/>
        </w:rPr>
        <w:t xml:space="preserve"> Empty analogies, claiming to have proven famous conjectures, or lack of substantial content.</w:t>
      </w:r>
    </w:p>
    <w:p w14:paraId="420E036A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Core Goal:</w:t>
      </w:r>
      <w:r>
        <w:rPr>
          <w:rFonts w:hint="default" w:ascii="Times New Roman" w:hAnsi="Times New Roman" w:cs="Times New Roman"/>
          <w:sz w:val="21"/>
          <w:szCs w:val="21"/>
        </w:rPr>
        <w:t xml:space="preserve"> To transform open-ended exploration into evaluable, reproducible scientific practice, giving creativity a verifiable anchor.</w:t>
      </w:r>
    </w:p>
    <w:p w14:paraId="404F0F24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Prompt Design Points:</w:t>
      </w:r>
      <w:r>
        <w:rPr>
          <w:rFonts w:hint="default" w:ascii="Times New Roman" w:hAnsi="Times New Roman" w:cs="Times New Roman"/>
          <w:sz w:val="21"/>
          <w:szCs w:val="21"/>
        </w:rPr>
        <w:t xml:space="preserve"> Use task-decomposition instructions, enforce structured output, and embed automated verification interfaces.</w:t>
      </w:r>
    </w:p>
    <w:p w14:paraId="66C825C8">
      <w:pPr>
        <w:pStyle w:val="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5. Standardized Prompt (For Actual Testing)</w:t>
      </w:r>
    </w:p>
    <w:p w14:paraId="559005D1">
      <w:pPr>
        <w:pStyle w:val="14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You are a research agent participating in the OpenSciEval scientific creativity evaluation. Please read the above guide carefully, especially the three phases in the "Execution Pathway &amp; Validation Protocol."</w:t>
      </w:r>
    </w:p>
    <w:p w14:paraId="67D9B2F4">
      <w:pPr>
        <w:pStyle w:val="14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Please use clear section headings to organize your content. If code is involved, ensure it is reproducible; if formulas are involved, please use LaTeX format.</w:t>
      </w:r>
    </w:p>
    <w:p w14:paraId="1F736E4F">
      <w:pPr>
        <w:pStyle w:val="5"/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sz w:val="21"/>
          <w:szCs w:val="21"/>
        </w:rPr>
        <w:t>6. Evaluation Methods &amp; Scoring Criteria (For Evaluators)</w:t>
      </w:r>
    </w:p>
    <w:tbl>
      <w:tblPr>
        <w:tblStyle w:val="9"/>
        <w:tblW w:w="8516" w:type="dxa"/>
        <w:jc w:val="center"/>
        <w:tblBorders>
          <w:top w:val="single" w:color="080F17" w:sz="6" w:space="0"/>
          <w:left w:val="single" w:color="080F17" w:sz="6" w:space="0"/>
          <w:bottom w:val="single" w:color="080F17" w:sz="6" w:space="0"/>
          <w:right w:val="single" w:color="080F17" w:sz="6" w:space="0"/>
          <w:insideH w:val="single" w:color="080F17" w:sz="6" w:space="0"/>
          <w:insideV w:val="single" w:color="080F17" w:sz="6" w:space="0"/>
        </w:tblBorders>
        <w:tblLayout w:type="autofit"/>
        <w:tblCellMar>
          <w:top w:w="30" w:type="dxa"/>
          <w:left w:w="180" w:type="dxa"/>
          <w:bottom w:w="30" w:type="dxa"/>
          <w:right w:w="180" w:type="dxa"/>
        </w:tblCellMar>
      </w:tblPr>
      <w:tblGrid>
        <w:gridCol w:w="1644"/>
        <w:gridCol w:w="2883"/>
        <w:gridCol w:w="928"/>
        <w:gridCol w:w="3061"/>
      </w:tblGrid>
      <w:tr w14:paraId="136A19C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tblHeader/>
          <w:jc w:val="center"/>
        </w:trPr>
        <w:tc>
          <w:tcPr>
            <w:tcW w:w="1644" w:type="dxa"/>
            <w:vAlign w:val="center"/>
          </w:tcPr>
          <w:p w14:paraId="0328DD8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Phase</w:t>
            </w:r>
          </w:p>
        </w:tc>
        <w:tc>
          <w:tcPr>
            <w:tcW w:w="2883" w:type="dxa"/>
            <w:vAlign w:val="center"/>
          </w:tcPr>
          <w:p w14:paraId="54657655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Ability Assessed</w:t>
            </w:r>
          </w:p>
        </w:tc>
        <w:tc>
          <w:tcPr>
            <w:tcW w:w="928" w:type="dxa"/>
            <w:vAlign w:val="center"/>
          </w:tcPr>
          <w:p w14:paraId="505A032A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Score</w:t>
            </w:r>
          </w:p>
        </w:tc>
        <w:tc>
          <w:tcPr>
            <w:tcW w:w="3061" w:type="dxa"/>
            <w:vAlign w:val="center"/>
          </w:tcPr>
          <w:p w14:paraId="29973641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b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1"/>
                <w:szCs w:val="21"/>
              </w:rPr>
              <w:t>Evaluation Method</w:t>
            </w:r>
          </w:p>
        </w:tc>
      </w:tr>
      <w:tr w14:paraId="41F852EC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4" w:type="dxa"/>
            <w:vAlign w:val="center"/>
          </w:tcPr>
          <w:p w14:paraId="2804992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One</w:t>
            </w:r>
          </w:p>
        </w:tc>
        <w:tc>
          <w:tcPr>
            <w:tcW w:w="2883" w:type="dxa"/>
            <w:vAlign w:val="center"/>
          </w:tcPr>
          <w:p w14:paraId="0C85550D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Symbolic Logic &amp; Axiomatic Modeling</w:t>
            </w:r>
          </w:p>
        </w:tc>
        <w:tc>
          <w:tcPr>
            <w:tcW w:w="928" w:type="dxa"/>
            <w:vAlign w:val="center"/>
          </w:tcPr>
          <w:p w14:paraId="10DAC7C9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20</w:t>
            </w:r>
          </w:p>
        </w:tc>
        <w:tc>
          <w:tcPr>
            <w:tcW w:w="3061" w:type="dxa"/>
            <w:vAlign w:val="center"/>
          </w:tcPr>
          <w:p w14:paraId="37DE883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LLM-as-a-Judge + Formal Type Checking</w:t>
            </w:r>
          </w:p>
        </w:tc>
      </w:tr>
      <w:tr w14:paraId="2FD4677B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4" w:type="dxa"/>
            <w:vAlign w:val="center"/>
          </w:tcPr>
          <w:p w14:paraId="3CD9A0C6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Two</w:t>
            </w:r>
          </w:p>
        </w:tc>
        <w:tc>
          <w:tcPr>
            <w:tcW w:w="2883" w:type="dxa"/>
            <w:vAlign w:val="center"/>
          </w:tcPr>
          <w:p w14:paraId="6320C827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Numerical Analysis &amp; Simulation Implementation</w:t>
            </w:r>
          </w:p>
        </w:tc>
        <w:tc>
          <w:tcPr>
            <w:tcW w:w="928" w:type="dxa"/>
            <w:vAlign w:val="center"/>
          </w:tcPr>
          <w:p w14:paraId="75DB9B0D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10</w:t>
            </w:r>
          </w:p>
        </w:tc>
        <w:tc>
          <w:tcPr>
            <w:tcW w:w="3061" w:type="dxa"/>
            <w:vAlign w:val="center"/>
          </w:tcPr>
          <w:p w14:paraId="57759CCB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Automated Sandbox Execution + Statistical Comparison</w:t>
            </w:r>
          </w:p>
        </w:tc>
      </w:tr>
      <w:tr w14:paraId="261CCE89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4" w:type="dxa"/>
            <w:vAlign w:val="center"/>
          </w:tcPr>
          <w:p w14:paraId="5D88F41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Three</w:t>
            </w:r>
          </w:p>
        </w:tc>
        <w:tc>
          <w:tcPr>
            <w:tcW w:w="2883" w:type="dxa"/>
            <w:vAlign w:val="center"/>
          </w:tcPr>
          <w:p w14:paraId="135402FF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Abductive Reasoning &amp; Hypothesis Generation</w:t>
            </w:r>
          </w:p>
        </w:tc>
        <w:tc>
          <w:tcPr>
            <w:tcW w:w="928" w:type="dxa"/>
            <w:vAlign w:val="center"/>
          </w:tcPr>
          <w:p w14:paraId="3B223E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30</w:t>
            </w:r>
          </w:p>
        </w:tc>
        <w:tc>
          <w:tcPr>
            <w:tcW w:w="3061" w:type="dxa"/>
            <w:vAlign w:val="center"/>
          </w:tcPr>
          <w:p w14:paraId="501EFB09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Expert Blind Review + Community Feedback (e.g., MathOverflow)</w:t>
            </w:r>
          </w:p>
        </w:tc>
      </w:tr>
      <w:tr w14:paraId="6B3D9CEA">
        <w:tblPrEx>
          <w:tblBorders>
            <w:top w:val="single" w:color="080F17" w:sz="6" w:space="0"/>
            <w:left w:val="single" w:color="080F17" w:sz="6" w:space="0"/>
            <w:bottom w:val="single" w:color="080F17" w:sz="6" w:space="0"/>
            <w:right w:val="single" w:color="080F17" w:sz="6" w:space="0"/>
            <w:insideH w:val="single" w:color="080F17" w:sz="6" w:space="0"/>
            <w:insideV w:val="single" w:color="080F17" w:sz="6" w:space="0"/>
          </w:tblBorders>
          <w:tblCellMar>
            <w:top w:w="30" w:type="dxa"/>
            <w:left w:w="180" w:type="dxa"/>
            <w:bottom w:w="30" w:type="dxa"/>
            <w:right w:w="180" w:type="dxa"/>
          </w:tblCellMar>
        </w:tblPrEx>
        <w:trPr>
          <w:trHeight w:val="0" w:hRule="atLeast"/>
          <w:jc w:val="center"/>
        </w:trPr>
        <w:tc>
          <w:tcPr>
            <w:tcW w:w="1644" w:type="dxa"/>
            <w:vAlign w:val="center"/>
          </w:tcPr>
          <w:p w14:paraId="41A44F1A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Breakthrough Clause</w:t>
            </w:r>
          </w:p>
        </w:tc>
        <w:tc>
          <w:tcPr>
            <w:tcW w:w="2883" w:type="dxa"/>
            <w:vAlign w:val="center"/>
          </w:tcPr>
          <w:p w14:paraId="68692963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Historical Innovation (e.g., advancing a famous conjecture)</w:t>
            </w:r>
          </w:p>
        </w:tc>
        <w:tc>
          <w:tcPr>
            <w:tcW w:w="928" w:type="dxa"/>
            <w:vAlign w:val="center"/>
          </w:tcPr>
          <w:p w14:paraId="17C72430">
            <w:pPr>
              <w:snapToGrid w:val="0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+40</w:t>
            </w:r>
          </w:p>
        </w:tc>
        <w:tc>
          <w:tcPr>
            <w:tcW w:w="3061" w:type="dxa"/>
            <w:vAlign w:val="center"/>
          </w:tcPr>
          <w:p w14:paraId="213580A1">
            <w:pPr>
              <w:snapToGrid w:val="0"/>
              <w:ind w:left="0" w:leftChars="0" w:right="0" w:rightChars="0" w:firstLine="0" w:firstLineChars="0"/>
              <w:jc w:val="left"/>
              <w:rPr>
                <w:rFonts w:hint="default" w:ascii="Times New Roman" w:hAnsi="Times New Roman" w:cs="Times New Roman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sz w:val="21"/>
                <w:szCs w:val="21"/>
              </w:rPr>
              <w:t>Confirmation by International Expert Committee</w:t>
            </w:r>
          </w:p>
        </w:tc>
      </w:tr>
    </w:tbl>
    <w:p w14:paraId="25CE44F6">
      <w:p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Total Score 100 = Base Score (60) + Breakthrough Score (40)</w:t>
      </w:r>
    </w:p>
    <w:p w14:paraId="1768B4F4">
      <w:pPr>
        <w:pStyle w:val="5"/>
        <w:jc w:val="both"/>
        <w:rPr>
          <w:rFonts w:hint="default" w:ascii="Times New Roman" w:hAnsi="Times New Roman" w:cs="Times New Roman"/>
          <w:sz w:val="21"/>
          <w:szCs w:val="21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1"/>
          <w:szCs w:val="21"/>
        </w:rPr>
        <w:t>Usage Instructions</w:t>
      </w:r>
    </w:p>
    <w:p w14:paraId="37D972B0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Replacement Guide:</w:t>
      </w:r>
      <w:r>
        <w:rPr>
          <w:rFonts w:hint="default" w:ascii="Times New Roman" w:hAnsi="Times New Roman" w:cs="Times New Roman"/>
          <w:sz w:val="21"/>
          <w:szCs w:val="21"/>
        </w:rPr>
        <w:t xml:space="preserve"> Replace the "Example" content in Sections 1–3 with the scientific problem of the target domain (e.g., "Protein Folding </w:t>
      </w:r>
      <w:r>
        <w:rPr>
          <w:rStyle w:val="15"/>
          <w:rFonts w:hint="default" w:ascii="Times New Roman" w:hAnsi="Times New Roman" w:cs="Times New Roman"/>
          <w:sz w:val="21"/>
          <w:szCs w:val="21"/>
        </w:rPr>
        <w:t>↔</w:t>
      </w:r>
      <w:r>
        <w:rPr>
          <w:rFonts w:hint="default" w:ascii="Times New Roman" w:hAnsi="Times New Roman" w:cs="Times New Roman"/>
          <w:sz w:val="21"/>
          <w:szCs w:val="21"/>
        </w:rPr>
        <w:t xml:space="preserve"> Ising Model") to generate a new challenge.</w:t>
      </w:r>
    </w:p>
    <w:p w14:paraId="3760BF31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Retain Structure:</w:t>
      </w:r>
      <w:r>
        <w:rPr>
          <w:rFonts w:hint="default" w:ascii="Times New Roman" w:hAnsi="Times New Roman" w:cs="Times New Roman"/>
          <w:sz w:val="21"/>
          <w:szCs w:val="21"/>
        </w:rPr>
        <w:t xml:space="preserve"> Sections 4–6 are a general framework and do not need modification.</w:t>
      </w:r>
    </w:p>
    <w:p w14:paraId="20D4C711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Open Source Suggestion:</w:t>
      </w:r>
      <w:r>
        <w:rPr>
          <w:rFonts w:hint="default" w:ascii="Times New Roman" w:hAnsi="Times New Roman" w:cs="Times New Roman"/>
          <w:sz w:val="21"/>
          <w:szCs w:val="21"/>
        </w:rPr>
        <w:t xml:space="preserve"> Publish a companion </w:t>
      </w:r>
      <w:r>
        <w:rPr>
          <w:rStyle w:val="15"/>
          <w:rFonts w:hint="default" w:ascii="Times New Roman" w:hAnsi="Times New Roman" w:cs="Times New Roman"/>
          <w:sz w:val="21"/>
          <w:szCs w:val="21"/>
        </w:rPr>
        <w:t>ose-challenges/</w:t>
      </w:r>
      <w:r>
        <w:rPr>
          <w:rFonts w:hint="default" w:ascii="Times New Roman" w:hAnsi="Times New Roman" w:cs="Times New Roman"/>
          <w:sz w:val="21"/>
          <w:szCs w:val="21"/>
        </w:rPr>
        <w:t xml:space="preserve"> repository to collect challenge packages from various fields.</w:t>
      </w:r>
    </w:p>
    <w:p w14:paraId="6AAB50F0">
      <w:pPr>
        <w:numPr>
          <w:ilvl w:val="0"/>
          <w:numId w:val="2"/>
        </w:numPr>
        <w:jc w:val="both"/>
        <w:rPr>
          <w:rFonts w:hint="default" w:ascii="Times New Roman" w:hAnsi="Times New Roman" w:cs="Times New Roman"/>
          <w:sz w:val="21"/>
          <w:szCs w:val="21"/>
        </w:rPr>
      </w:pPr>
      <w:r>
        <w:rPr>
          <w:rFonts w:hint="default" w:ascii="Times New Roman" w:hAnsi="Times New Roman" w:cs="Times New Roman"/>
          <w:b/>
          <w:bCs/>
          <w:sz w:val="21"/>
          <w:szCs w:val="21"/>
        </w:rPr>
        <w:t>Project GitHub:</w:t>
      </w:r>
      <w:r>
        <w:rPr>
          <w:rFonts w:hint="default" w:ascii="Times New Roman" w:hAnsi="Times New Roman" w:cs="Times New Roman"/>
          <w:sz w:val="21"/>
          <w:szCs w:val="21"/>
        </w:rPr>
        <w:t xml:space="preserve"> </w:t>
      </w:r>
      <w:r>
        <w:rPr>
          <w:rFonts w:hint="default" w:ascii="Times New Roman" w:hAnsi="Times New Roman" w:cs="Times New Roman"/>
          <w:sz w:val="21"/>
          <w:szCs w:val="21"/>
        </w:rPr>
        <w:fldChar w:fldCharType="begin"/>
      </w:r>
      <w:r>
        <w:rPr>
          <w:rFonts w:hint="default" w:ascii="Times New Roman" w:hAnsi="Times New Roman" w:cs="Times New Roman"/>
          <w:sz w:val="21"/>
          <w:szCs w:val="21"/>
        </w:rPr>
        <w:instrText xml:space="preserve"> HYPERLINK "https://github.com/maris205/open_sci_eval" </w:instrText>
      </w:r>
      <w:r>
        <w:rPr>
          <w:rFonts w:hint="default" w:ascii="Times New Roman" w:hAnsi="Times New Roman" w:cs="Times New Roman"/>
          <w:sz w:val="21"/>
          <w:szCs w:val="21"/>
        </w:rPr>
        <w:fldChar w:fldCharType="separate"/>
      </w:r>
      <w:r>
        <w:rPr>
          <w:rStyle w:val="11"/>
          <w:rFonts w:hint="default" w:ascii="Times New Roman" w:hAnsi="Times New Roman" w:cs="Times New Roman"/>
          <w:sz w:val="21"/>
          <w:szCs w:val="21"/>
        </w:rPr>
        <w:t>https://github.com/maris205/open_sci_eval</w:t>
      </w:r>
      <w:r>
        <w:rPr>
          <w:rFonts w:hint="default" w:ascii="Times New Roman" w:hAnsi="Times New Roman" w:cs="Times New Roman"/>
          <w:sz w:val="21"/>
          <w:szCs w:val="21"/>
        </w:rPr>
        <w:fldChar w:fldCharType="end"/>
      </w:r>
    </w:p>
    <w:sectPr>
      <w:pgSz w:w="14706" w:h="16838"/>
      <w:pgMar w:top="1440" w:right="4603" w:bottom="1440" w:left="1803" w:header="13" w:footer="13" w:gutter="0"/>
      <w:cols w:space="0" w:num="1"/>
      <w:docGrid w:type="lines" w:linePitch="24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0000001"/>
    <w:multiLevelType w:val="singleLevel"/>
    <w:tmpl w:val="20000001"/>
    <w:lvl w:ilvl="0" w:tentative="0">
      <w:start w:val="1"/>
      <w:numFmt w:val="decimal"/>
      <w:pStyle w:val="17"/>
      <w:suff w:val="space"/>
      <w:lvlText w:val="%1 "/>
      <w:lvlJc w:val="right"/>
      <w:rPr>
        <w:rFonts w:ascii="微软雅黑" w:hAnsi="微软雅黑" w:eastAsia="微软雅黑" w:cs="微软雅黑"/>
        <w:color w:val="C0C6CF"/>
        <w:sz w:val="16"/>
      </w:rPr>
    </w:lvl>
  </w:abstractNum>
  <w:abstractNum w:abstractNumId="1">
    <w:nsid w:val="20000002"/>
    <w:multiLevelType w:val="multilevel"/>
    <w:tmpl w:val="20000002"/>
    <w:lvl w:ilvl="0" w:tentative="0">
      <w:start w:val="1"/>
      <w:numFmt w:val="bullet"/>
      <w:lvlText w:val=""/>
      <w:lvlJc w:val="left"/>
      <w:pPr>
        <w:ind w:left="420" w:hanging="420"/>
      </w:pPr>
      <w:rPr>
        <w:rFonts w:ascii="Wingdings" w:hAnsi="Wingdings" w:eastAsia="Wingdings" w:cs="Wingdings"/>
      </w:rPr>
    </w:lvl>
    <w:lvl w:ilvl="1" w:tentative="0">
      <w:start w:val="1"/>
      <w:numFmt w:val="bullet"/>
      <w:lvlText w:val="¢"/>
      <w:lvlJc w:val="left"/>
      <w:pPr>
        <w:ind w:left="840" w:hanging="420"/>
      </w:pPr>
      <w:rPr>
        <w:rFonts w:ascii="Wingdings" w:hAnsi="Wingdings" w:eastAsia="Wingdings" w:cs="Wingdings"/>
      </w:rPr>
    </w:lvl>
    <w:lvl w:ilvl="2" w:tentative="0">
      <w:start w:val="1"/>
      <w:numFmt w:val="bullet"/>
      <w:lvlText w:val=""/>
      <w:lvlJc w:val="left"/>
      <w:pPr>
        <w:ind w:left="1260" w:hanging="420"/>
      </w:pPr>
      <w:rPr>
        <w:rFonts w:ascii="Wingdings" w:hAnsi="Wingdings" w:eastAsia="Wingdings" w:cs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ascii="Wingdings" w:hAnsi="Wingdings" w:eastAsia="Wingdings" w:cs="Wingdings"/>
      </w:rPr>
    </w:lvl>
    <w:lvl w:ilvl="4" w:tentative="0">
      <w:start w:val="1"/>
      <w:numFmt w:val="bullet"/>
      <w:lvlText w:val="¢"/>
      <w:lvlJc w:val="left"/>
      <w:pPr>
        <w:ind w:left="2100" w:hanging="420"/>
      </w:pPr>
      <w:rPr>
        <w:rFonts w:ascii="Wingdings" w:hAnsi="Wingdings" w:eastAsia="Wingdings" w:cs="Wingdings"/>
      </w:rPr>
    </w:lvl>
    <w:lvl w:ilvl="5" w:tentative="0">
      <w:start w:val="1"/>
      <w:numFmt w:val="bullet"/>
      <w:lvlText w:val=""/>
      <w:lvlJc w:val="left"/>
      <w:pPr>
        <w:ind w:left="2520" w:hanging="420"/>
      </w:pPr>
      <w:rPr>
        <w:rFonts w:ascii="Wingdings" w:hAnsi="Wingdings" w:eastAsia="Wingdings" w:cs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ascii="Wingdings" w:hAnsi="Wingdings" w:eastAsia="Wingdings" w:cs="Wingdings"/>
      </w:rPr>
    </w:lvl>
    <w:lvl w:ilvl="7" w:tentative="0">
      <w:start w:val="1"/>
      <w:numFmt w:val="bullet"/>
      <w:lvlText w:val="¢"/>
      <w:lvlJc w:val="left"/>
      <w:pPr>
        <w:ind w:left="3360" w:hanging="420"/>
      </w:pPr>
      <w:rPr>
        <w:rFonts w:ascii="Wingdings" w:hAnsi="Wingdings" w:eastAsia="Wingdings" w:cs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ocumentProtection w:enforcement="0"/>
  <w:defaultTabStop w:val="42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6C49F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textAlignment w:val="baseline"/>
    </w:pPr>
    <w:rPr>
      <w:rFonts w:ascii="微软雅黑" w:hAnsi="微软雅黑" w:eastAsia="微软雅黑" w:cs="微软雅黑"/>
      <w:color w:val="080F17"/>
      <w:sz w:val="22"/>
    </w:rPr>
  </w:style>
  <w:style w:type="paragraph" w:styleId="2">
    <w:name w:val="heading 1"/>
    <w:basedOn w:val="1"/>
    <w:qFormat/>
    <w:uiPriority w:val="0"/>
    <w:pPr>
      <w:spacing w:before="390" w:after="120" w:line="634" w:lineRule="exact"/>
      <w:outlineLvl w:val="0"/>
    </w:pPr>
    <w:rPr>
      <w:b/>
      <w:sz w:val="38"/>
    </w:rPr>
  </w:style>
  <w:style w:type="paragraph" w:styleId="3">
    <w:name w:val="heading 2"/>
    <w:basedOn w:val="1"/>
    <w:qFormat/>
    <w:uiPriority w:val="0"/>
    <w:pPr>
      <w:spacing w:before="330" w:after="120" w:line="536" w:lineRule="exact"/>
      <w:outlineLvl w:val="1"/>
    </w:pPr>
    <w:rPr>
      <w:b/>
      <w:sz w:val="32"/>
    </w:rPr>
  </w:style>
  <w:style w:type="paragraph" w:styleId="4">
    <w:name w:val="heading 3"/>
    <w:basedOn w:val="1"/>
    <w:qFormat/>
    <w:uiPriority w:val="0"/>
    <w:pPr>
      <w:spacing w:before="300" w:after="120" w:line="488" w:lineRule="exact"/>
      <w:outlineLvl w:val="2"/>
    </w:pPr>
    <w:rPr>
      <w:b/>
      <w:sz w:val="30"/>
    </w:rPr>
  </w:style>
  <w:style w:type="paragraph" w:styleId="5">
    <w:name w:val="heading 4"/>
    <w:basedOn w:val="1"/>
    <w:qFormat/>
    <w:uiPriority w:val="0"/>
    <w:pPr>
      <w:spacing w:before="270" w:after="120" w:line="439" w:lineRule="exact"/>
      <w:outlineLvl w:val="3"/>
    </w:pPr>
    <w:rPr>
      <w:b/>
      <w:sz w:val="26"/>
    </w:rPr>
  </w:style>
  <w:style w:type="paragraph" w:styleId="6">
    <w:name w:val="heading 5"/>
    <w:basedOn w:val="1"/>
    <w:qFormat/>
    <w:uiPriority w:val="0"/>
    <w:pPr>
      <w:spacing w:before="240" w:after="120" w:line="390" w:lineRule="exact"/>
      <w:outlineLvl w:val="4"/>
    </w:pPr>
    <w:rPr>
      <w:b/>
      <w:sz w:val="22"/>
    </w:rPr>
  </w:style>
  <w:style w:type="paragraph" w:styleId="7">
    <w:name w:val="heading 6"/>
    <w:basedOn w:val="1"/>
    <w:qFormat/>
    <w:uiPriority w:val="0"/>
    <w:pPr>
      <w:spacing w:before="240" w:after="120" w:line="390" w:lineRule="exact"/>
      <w:outlineLvl w:val="5"/>
    </w:pPr>
    <w:rPr>
      <w:b/>
      <w:sz w:val="22"/>
    </w:rPr>
  </w:style>
  <w:style w:type="character" w:default="1" w:styleId="10">
    <w:name w:val="Default Paragraph Font"/>
    <w:semiHidden/>
    <w:uiPriority w:val="0"/>
  </w:style>
  <w:style w:type="table" w:default="1" w:styleId="8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9">
    <w:name w:val="Table Grid"/>
    <w:qFormat/>
    <w:uiPriority w:val="0"/>
    <w:tblPr>
      <w:tblBorders>
        <w:top w:val="single" w:color="080F17" w:sz="6" w:space="0"/>
        <w:left w:val="single" w:color="080F17" w:sz="6" w:space="0"/>
        <w:bottom w:val="single" w:color="080F17" w:sz="6" w:space="0"/>
        <w:right w:val="single" w:color="080F17" w:sz="6" w:space="0"/>
        <w:insideH w:val="single" w:color="080F17" w:sz="6" w:space="0"/>
        <w:insideV w:val="single" w:color="080F17" w:sz="6" w:space="0"/>
      </w:tblBorders>
      <w:tblCellMar>
        <w:left w:w="108" w:type="dxa"/>
        <w:right w:w="108" w:type="dxa"/>
      </w:tblCellMar>
    </w:tblPr>
  </w:style>
  <w:style w:type="character" w:styleId="11">
    <w:name w:val="Hyperlink"/>
    <w:qFormat/>
    <w:uiPriority w:val="0"/>
    <w:rPr>
      <w:color w:val="0A6CFF"/>
      <w:u w:val="single" w:color="0A6CFF"/>
    </w:rPr>
  </w:style>
  <w:style w:type="paragraph" w:customStyle="1" w:styleId="12">
    <w:name w:val="MainTitle"/>
    <w:basedOn w:val="1"/>
    <w:qFormat/>
    <w:uiPriority w:val="0"/>
    <w:pPr>
      <w:pBdr>
        <w:bottom w:val="single" w:color="E2E6ED" w:sz="6" w:space="5"/>
      </w:pBdr>
      <w:spacing w:before="180" w:after="480" w:line="780" w:lineRule="exact"/>
    </w:pPr>
    <w:rPr>
      <w:b/>
      <w:sz w:val="44"/>
    </w:rPr>
  </w:style>
  <w:style w:type="character" w:customStyle="1" w:styleId="13">
    <w:name w:val="DateTime"/>
    <w:qFormat/>
    <w:uiPriority w:val="0"/>
    <w:rPr>
      <w:color w:val="0A6CFF"/>
    </w:rPr>
  </w:style>
  <w:style w:type="paragraph" w:customStyle="1" w:styleId="14">
    <w:name w:val="Blockquote"/>
    <w:basedOn w:val="1"/>
    <w:qFormat/>
    <w:uiPriority w:val="0"/>
    <w:pPr>
      <w:pBdr>
        <w:left w:val="single" w:color="E2E6ED" w:sz="36" w:space="12"/>
      </w:pBdr>
      <w:ind w:left="330" w:firstLine="0"/>
    </w:pPr>
    <w:rPr>
      <w:color w:val="767C85"/>
      <w:sz w:val="22"/>
    </w:rPr>
  </w:style>
  <w:style w:type="character" w:customStyle="1" w:styleId="15">
    <w:name w:val="Code"/>
    <w:qFormat/>
    <w:uiPriority w:val="0"/>
    <w:rPr>
      <w:bdr w:val="single" w:color="E2E6ED" w:sz="6" w:space="0"/>
    </w:rPr>
  </w:style>
  <w:style w:type="character" w:customStyle="1" w:styleId="16">
    <w:name w:val="Emoji"/>
    <w:qFormat/>
    <w:uiPriority w:val="0"/>
    <w:rPr>
      <w:rFonts w:ascii="Segoe UI Emoji" w:hAnsi="Segoe UI Emoji" w:eastAsia="Segoe UI Emoji" w:cs="Segoe UI Emoji"/>
    </w:rPr>
  </w:style>
  <w:style w:type="paragraph" w:customStyle="1" w:styleId="17">
    <w:name w:val="CodeBlock"/>
    <w:basedOn w:val="1"/>
    <w:qFormat/>
    <w:uiPriority w:val="0"/>
    <w:pPr>
      <w:numPr>
        <w:ilvl w:val="0"/>
        <w:numId w:val="1"/>
      </w:numPr>
      <w:pBdr>
        <w:top w:val="single" w:color="E2E6ED" w:sz="6" w:space="8"/>
        <w:left w:val="single" w:color="E2E6ED" w:sz="6" w:space="26"/>
        <w:bottom w:val="single" w:color="E2E6ED" w:sz="6" w:space="8"/>
        <w:right w:val="single" w:color="E2E6ED" w:sz="6" w:space="0"/>
      </w:pBdr>
      <w:shd w:val="clear" w:color="FFFFFF" w:fill="F5F7F9"/>
      <w:spacing w:before="0" w:after="0" w:line="300" w:lineRule="exact"/>
      <w:ind w:left="540" w:firstLine="0"/>
    </w:pPr>
    <w:rPr>
      <w:sz w:val="18"/>
    </w:rPr>
  </w:style>
  <w:style w:type="table" w:customStyle="1" w:styleId="18">
    <w:name w:val="HighlightBlock"/>
    <w:qFormat/>
    <w:uiPriority w:val="0"/>
    <w:tblPr>
      <w:tblBorders>
        <w:top w:val="single" w:color="FEC794" w:sz="6" w:space="0"/>
        <w:left w:val="single" w:color="FEC794" w:sz="6" w:space="0"/>
        <w:bottom w:val="single" w:color="FEC794" w:sz="6" w:space="0"/>
        <w:right w:val="single" w:color="FEC794" w:sz="6" w:space="0"/>
        <w:insideH w:val="single" w:color="FEC794" w:sz="6" w:space="0"/>
        <w:insideV w:val="single" w:color="FEC794" w:sz="6" w:space="0"/>
      </w:tblBorders>
      <w:tblCellMar>
        <w:left w:w="108" w:type="dxa"/>
        <w:right w:w="108" w:type="dxa"/>
      </w:tblCellMar>
    </w:tblPr>
  </w:style>
  <w:style w:type="paragraph" w:customStyle="1" w:styleId="19">
    <w:name w:val="Seperate"/>
    <w:basedOn w:val="1"/>
    <w:qFormat/>
    <w:uiPriority w:val="0"/>
    <w:pPr>
      <w:spacing w:before="0" w:after="0" w:line="120" w:lineRule="exact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974</Words>
  <Characters>6243</Characters>
  <TotalTime>2</TotalTime>
  <ScaleCrop>false</ScaleCrop>
  <LinksUpToDate>false</LinksUpToDate>
  <CharactersWithSpaces>7126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2025-12-16T20:04:00Z</dcterms:created>
  <dc:creator>webotl</dc:creator>
  <cp:lastModifiedBy>王亮@appbk.com</cp:lastModifiedBy>
  <dcterms:modified xsi:type="dcterms:W3CDTF">2025-12-16T12:07:07Z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webotl</vt:lpwstr>
  </property>
  <property fmtid="{D5CDD505-2E9C-101B-9397-08002B2CF9AE}" pid="3" name="KSOTemplateDocerSaveRecord">
    <vt:lpwstr>eyJoZGlkIjoiZWM5MjE3ZThhOGI4ODJkZmY4NThlMzNkNzIyNTE3NjMiLCJ1c2VySWQiOiI3NDMxNzEzNTYifQ==</vt:lpwstr>
  </property>
  <property fmtid="{D5CDD505-2E9C-101B-9397-08002B2CF9AE}" pid="4" name="KSOProductBuildVer">
    <vt:lpwstr>2052-12.1.0.24034</vt:lpwstr>
  </property>
  <property fmtid="{D5CDD505-2E9C-101B-9397-08002B2CF9AE}" pid="5" name="ICV">
    <vt:lpwstr>F90B9F244ED943B989565CB6CA49E608_12</vt:lpwstr>
  </property>
</Properties>
</file>