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30535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4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OpenSciEval 科学创造力评测指南模板</w:t>
      </w:r>
    </w:p>
    <w:p w14:paraId="5CF1BB93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4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版本</w:t>
      </w:r>
      <w:r>
        <w:rPr>
          <w:rFonts w:hint="eastAsia" w:ascii="宋体" w:hAnsi="宋体" w:eastAsia="宋体" w:cs="宋体"/>
          <w:sz w:val="24"/>
          <w:szCs w:val="24"/>
        </w:rPr>
        <w:t>：1.0</w:t>
      </w:r>
    </w:p>
    <w:p w14:paraId="6E706235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4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适用对象</w:t>
      </w:r>
      <w:r>
        <w:rPr>
          <w:rFonts w:hint="eastAsia" w:ascii="宋体" w:hAnsi="宋体" w:eastAsia="宋体" w:cs="宋体"/>
          <w:sz w:val="24"/>
          <w:szCs w:val="24"/>
        </w:rPr>
        <w:t>：大语言模型 / AI 科研智能体</w:t>
      </w:r>
    </w:p>
    <w:p w14:paraId="66877520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4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评估目标</w:t>
      </w:r>
      <w:r>
        <w:rPr>
          <w:rFonts w:hint="eastAsia" w:ascii="宋体" w:hAnsi="宋体" w:eastAsia="宋体" w:cs="宋体"/>
          <w:sz w:val="24"/>
          <w:szCs w:val="24"/>
        </w:rPr>
        <w:t>：衡量 AI 在开放科学问题中完成“问题定义 → 模型构建 → 假设生成”全过程的能力</w:t>
      </w:r>
    </w:p>
    <w:p w14:paraId="568D788C">
      <w:pPr>
        <w:pStyle w:val="19"/>
        <w:keepNext w:val="0"/>
        <w:keepLines w:val="0"/>
        <w:pageBreakBefore w:val="0"/>
        <w:widowControl/>
        <w:pBdr>
          <w:bottom w:val="single" w:color="080F17" w:sz="6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4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</w:p>
    <w:p w14:paraId="6DB04A5F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4" w:lineRule="auto"/>
        <w:textAlignment w:val="baseline"/>
        <w:rPr>
          <w:rFonts w:hint="eastAsia" w:ascii="宋体" w:hAnsi="宋体" w:eastAsia="宋体" w:cs="宋体"/>
          <w:sz w:val="24"/>
          <w:szCs w:val="24"/>
        </w:rPr>
      </w:pPr>
    </w:p>
    <w:p w14:paraId="7C2DDC9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4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问题背景（Problem Background）</w:t>
      </w:r>
    </w:p>
    <w:p w14:paraId="5AAFFF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4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【在此描述一个具有跨学科张力的开放科学谜题。应突出“表面现象 vs 深层机制”的矛盾，并暗示可能存在来自另一领域的解释视角。避免提供答案或标准路径。】</w:t>
      </w:r>
    </w:p>
    <w:p w14:paraId="5FD6B69D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4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示例（素数–混沌）</w:t>
      </w:r>
      <w:r>
        <w:rPr>
          <w:rFonts w:hint="eastAsia" w:ascii="宋体" w:hAnsi="宋体" w:eastAsia="宋体" w:cs="宋体"/>
          <w:sz w:val="24"/>
          <w:szCs w:val="24"/>
        </w:rPr>
        <w:t>：</w:t>
      </w:r>
    </w:p>
    <w:p w14:paraId="7A2CC20A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4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素数在自然数中的分布呈现出高度不规则性，看似随机，却又受严格算术规则支配。长期以来，数学家试图在概率模型与确定性结构之间寻找平衡。近年来，非线性动力学的发展提示我们：这种“伪随机性”是否可能源于某个低维确定性系统的混沌行为？本挑战邀请你探索这一大胆猜想。</w:t>
      </w:r>
    </w:p>
    <w:p w14:paraId="4F4FD5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4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其核心目标是帮助 AI 理解问题的前因后果与科学意义，这是激发有意义探索的前提。</w:t>
      </w:r>
    </w:p>
    <w:p w14:paraId="16B8FE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4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提示词设计要点</w:t>
      </w:r>
      <w:r>
        <w:rPr>
          <w:rFonts w:hint="eastAsia" w:ascii="宋体" w:hAnsi="宋体" w:eastAsia="宋体" w:cs="宋体"/>
          <w:sz w:val="24"/>
          <w:szCs w:val="24"/>
        </w:rPr>
        <w:t>：采用叙事性、启发式语言营造“科学谜题”氛围，避免直接提问或提供答案。</w:t>
      </w:r>
    </w:p>
    <w:p w14:paraId="17E922E0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4" w:lineRule="auto"/>
        <w:textAlignment w:val="baseline"/>
        <w:rPr>
          <w:rFonts w:hint="eastAsia" w:ascii="宋体" w:hAnsi="宋体" w:eastAsia="宋体" w:cs="宋体"/>
          <w:sz w:val="24"/>
          <w:szCs w:val="24"/>
        </w:rPr>
      </w:pPr>
    </w:p>
    <w:p w14:paraId="5354C6B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4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理论基础与认知脚手架（Theoretical Basis &amp; Cognitive Scaffolding）</w:t>
      </w:r>
    </w:p>
    <w:p w14:paraId="4C857E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4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【提供基础的知识准备，建议在此可提供2个领域的高层级概念类比，作为建模的“认知桥梁”，也可以是其他类似的基础领域知识。每个概念需用直觉性语言解释，避免公式或专业术语堆砌。】</w:t>
      </w:r>
    </w:p>
    <w:p w14:paraId="7EB5BBE3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4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示例</w:t>
      </w:r>
      <w:r>
        <w:rPr>
          <w:rFonts w:hint="eastAsia" w:ascii="宋体" w:hAnsi="宋体" w:eastAsia="宋体" w:cs="宋体"/>
          <w:sz w:val="24"/>
          <w:szCs w:val="24"/>
        </w:rPr>
        <w:t>：</w:t>
      </w:r>
    </w:p>
    <w:p w14:paraId="468DFD56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4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领域 A（如数论）</w:t>
      </w:r>
      <w:r>
        <w:rPr>
          <w:rFonts w:hint="eastAsia" w:ascii="宋体" w:hAnsi="宋体" w:eastAsia="宋体" w:cs="宋体"/>
          <w:sz w:val="24"/>
          <w:szCs w:val="24"/>
        </w:rPr>
        <w:t>：埃拉托斯特尼筛法可被理解为一个动态过程——每个素数像一个周期性“作用源”，不断“清除”其倍数位置。</w:t>
      </w:r>
    </w:p>
    <w:p w14:paraId="26F9C3F9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4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领域 B（如动力学）</w:t>
      </w:r>
      <w:r>
        <w:rPr>
          <w:rFonts w:hint="eastAsia" w:ascii="宋体" w:hAnsi="宋体" w:eastAsia="宋体" w:cs="宋体"/>
          <w:sz w:val="24"/>
          <w:szCs w:val="24"/>
        </w:rPr>
        <w:t>：符号动力学允许我们将连续系统的轨道转化为离散符号序列，从而捕捉其拓扑结构。</w:t>
      </w:r>
    </w:p>
    <w:p w14:paraId="12D6C3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4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其核心目标是为 AI 提供可迁移的思维工具，而非具体答案，从而支持其自主构建解释框架。</w:t>
      </w:r>
    </w:p>
    <w:p w14:paraId="18B36C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4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提示词设计要点</w:t>
      </w:r>
      <w:r>
        <w:rPr>
          <w:rFonts w:hint="eastAsia" w:ascii="宋体" w:hAnsi="宋体" w:eastAsia="宋体" w:cs="宋体"/>
          <w:sz w:val="24"/>
          <w:szCs w:val="24"/>
        </w:rPr>
        <w:t>：以“类比”“视角”“隐喻”传递抽象概念，采用 Zero-Shot CoT 风格提供定义但不示范推理。</w:t>
      </w:r>
    </w:p>
    <w:p w14:paraId="619EF62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4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核心建构与启发式探索（Core Construction &amp; Heuristic Exploration）</w:t>
      </w:r>
    </w:p>
    <w:p w14:paraId="388335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4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【在此引导模型将静态问题动态化，并鼓励其提出跨域同构猜想。可辅以关键可视化素材（如示意图、统计图）作为多模态上下文。】</w:t>
      </w:r>
    </w:p>
    <w:p w14:paraId="253BD298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4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示例</w:t>
      </w:r>
      <w:r>
        <w:rPr>
          <w:rFonts w:hint="eastAsia" w:ascii="宋体" w:hAnsi="宋体" w:eastAsia="宋体" w:cs="宋体"/>
          <w:sz w:val="24"/>
          <w:szCs w:val="24"/>
        </w:rPr>
        <w:t>：</w:t>
      </w:r>
    </w:p>
    <w:p w14:paraId="072475A9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4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尝试将筛法重构为波的干涉过程：每个素数发射周期性“消亡波”，整数轴状态由叠加决定。进一步，用简单规则（如“保留/剔除”）编码该过程。随着更多素数加入，系统从规则走向复杂。</w:t>
      </w:r>
    </w:p>
    <w:p w14:paraId="097F6157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4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启发式猜想</w:t>
      </w:r>
      <w:r>
        <w:rPr>
          <w:rFonts w:hint="eastAsia" w:ascii="宋体" w:hAnsi="宋体" w:eastAsia="宋体" w:cs="宋体"/>
          <w:sz w:val="24"/>
          <w:szCs w:val="24"/>
        </w:rPr>
        <w:t>：该符号序列在宏观上是否趋近于某类混沌系统的典型轨道？</w:t>
      </w:r>
    </w:p>
    <w:p w14:paraId="2D2EE646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4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【插入图1：符号序列演化示意图】</w:t>
      </w:r>
    </w:p>
    <w:p w14:paraId="3311676F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4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【插入图2：素数间隙 vs 混沌轨道间隙统计对比】</w:t>
      </w:r>
    </w:p>
    <w:p w14:paraId="238CF6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4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其核心目标是激发 AI 在建模过程中同步生成并验证原创性假设，体现科学发现的动态本质。</w:t>
      </w:r>
    </w:p>
    <w:p w14:paraId="4DC543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4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提示词设计要点</w:t>
      </w:r>
      <w:r>
        <w:rPr>
          <w:rFonts w:hint="eastAsia" w:ascii="宋体" w:hAnsi="宋体" w:eastAsia="宋体" w:cs="宋体"/>
          <w:sz w:val="24"/>
          <w:szCs w:val="24"/>
        </w:rPr>
        <w:t>：通过“请你尝试重构…”“能否设想一种机制…”等开放式指令引导溯因推理，并将图像作为上下文要求模型“结合图示分析模式”。</w:t>
      </w:r>
    </w:p>
    <w:p w14:paraId="499E865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4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执行路径与验证协议（Execution Pathway &amp; Validation Protocol）</w:t>
      </w:r>
    </w:p>
    <w:p w14:paraId="7F00F3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4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AI 需按以下三阶段递进完成任务。每阶段均有明确输出要求：</w:t>
      </w:r>
    </w:p>
    <w:p w14:paraId="0C43956E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4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Style w:val="15"/>
          <w:rFonts w:hint="eastAsia" w:ascii="宋体" w:hAnsi="宋体" w:eastAsia="宋体" w:cs="宋体"/>
          <w:sz w:val="24"/>
          <w:szCs w:val="24"/>
        </w:rPr>
        <w:t>▶</w:t>
      </w:r>
      <w:r>
        <w:rPr>
          <w:rFonts w:hint="eastAsia" w:ascii="宋体" w:hAnsi="宋体" w:eastAsia="宋体" w:cs="宋体"/>
          <w:sz w:val="24"/>
          <w:szCs w:val="24"/>
        </w:rPr>
        <w:t xml:space="preserve"> 阶段一：基础理论完善</w:t>
      </w:r>
    </w:p>
    <w:p w14:paraId="4BCD04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4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任务</w:t>
      </w:r>
      <w:r>
        <w:rPr>
          <w:rFonts w:hint="eastAsia" w:ascii="宋体" w:hAnsi="宋体" w:eastAsia="宋体" w:cs="宋体"/>
          <w:sz w:val="24"/>
          <w:szCs w:val="24"/>
        </w:rPr>
        <w:t>：构建形式化描述框架。</w:t>
      </w:r>
    </w:p>
    <w:p w14:paraId="4FB0F4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4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输出要求</w:t>
      </w:r>
      <w:r>
        <w:rPr>
          <w:rFonts w:hint="eastAsia" w:ascii="宋体" w:hAnsi="宋体" w:eastAsia="宋体" w:cs="宋体"/>
          <w:sz w:val="24"/>
          <w:szCs w:val="24"/>
        </w:rPr>
        <w:t>：</w:t>
      </w:r>
    </w:p>
    <w:p w14:paraId="694B2AF3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4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自然语言定义核心对象（如状态、规则、演化机制）；</w:t>
      </w:r>
    </w:p>
    <w:p w14:paraId="15A637F9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4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形式化表达关键关系（可用伪代码或数学式）；</w:t>
      </w:r>
    </w:p>
    <w:p w14:paraId="316588AD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4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对一个关键性质提供逻辑推导或论证链；</w:t>
      </w:r>
    </w:p>
    <w:p w14:paraId="4A7D6008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4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（可选）提供 Lean/Coq 片段以验证类型合法性。</w:t>
      </w:r>
    </w:p>
    <w:p w14:paraId="7F1A90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4" w:lineRule="auto"/>
        <w:ind w:left="420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禁止</w:t>
      </w:r>
      <w:r>
        <w:rPr>
          <w:rFonts w:hint="eastAsia" w:ascii="宋体" w:hAnsi="宋体" w:eastAsia="宋体" w:cs="宋体"/>
          <w:sz w:val="24"/>
          <w:szCs w:val="24"/>
        </w:rPr>
        <w:t>：仅复述背景、使用“显然”跳过推理。</w:t>
      </w:r>
    </w:p>
    <w:p w14:paraId="0320263F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4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Style w:val="15"/>
          <w:rFonts w:hint="eastAsia" w:ascii="宋体" w:hAnsi="宋体" w:eastAsia="宋体" w:cs="宋体"/>
          <w:sz w:val="24"/>
          <w:szCs w:val="24"/>
        </w:rPr>
        <w:t>▶</w:t>
      </w:r>
      <w:r>
        <w:rPr>
          <w:rFonts w:hint="eastAsia" w:ascii="宋体" w:hAnsi="宋体" w:eastAsia="宋体" w:cs="宋体"/>
          <w:sz w:val="24"/>
          <w:szCs w:val="24"/>
        </w:rPr>
        <w:t xml:space="preserve"> 阶段二：数值验证与启发</w:t>
      </w:r>
    </w:p>
    <w:p w14:paraId="4D3D34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4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任务</w:t>
      </w:r>
      <w:r>
        <w:rPr>
          <w:rFonts w:hint="eastAsia" w:ascii="宋体" w:hAnsi="宋体" w:eastAsia="宋体" w:cs="宋体"/>
          <w:sz w:val="24"/>
          <w:szCs w:val="24"/>
        </w:rPr>
        <w:t>：设计可复现实验验证猜想。</w:t>
      </w:r>
    </w:p>
    <w:p w14:paraId="7DDFE3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4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输出要求</w:t>
      </w:r>
      <w:r>
        <w:rPr>
          <w:rFonts w:hint="eastAsia" w:ascii="宋体" w:hAnsi="宋体" w:eastAsia="宋体" w:cs="宋体"/>
          <w:sz w:val="24"/>
          <w:szCs w:val="24"/>
        </w:rPr>
        <w:t>：</w:t>
      </w:r>
    </w:p>
    <w:p w14:paraId="4735CE6A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4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完整可运行代码（Python/Matlab），生成数据并计算统计量；</w:t>
      </w:r>
    </w:p>
    <w:p w14:paraId="257582C9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4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数值结果摘要（含关键指标与误差分析）；</w:t>
      </w:r>
    </w:p>
    <w:p w14:paraId="614E0F0C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4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结合图表解释现象是否支持猜想。</w:t>
      </w:r>
    </w:p>
    <w:p w14:paraId="5ED9FC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4" w:lineRule="auto"/>
        <w:ind w:left="420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禁止</w:t>
      </w:r>
      <w:r>
        <w:rPr>
          <w:rFonts w:hint="eastAsia" w:ascii="宋体" w:hAnsi="宋体" w:eastAsia="宋体" w:cs="宋体"/>
          <w:sz w:val="24"/>
          <w:szCs w:val="24"/>
        </w:rPr>
        <w:t>：无代码、不可复现、无量化证据。</w:t>
      </w:r>
    </w:p>
    <w:p w14:paraId="416A686E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4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Style w:val="15"/>
          <w:rFonts w:hint="eastAsia" w:ascii="宋体" w:hAnsi="宋体" w:eastAsia="宋体" w:cs="宋体"/>
          <w:sz w:val="24"/>
          <w:szCs w:val="24"/>
        </w:rPr>
        <w:t>▶</w:t>
      </w:r>
      <w:r>
        <w:rPr>
          <w:rFonts w:hint="eastAsia" w:ascii="宋体" w:hAnsi="宋体" w:eastAsia="宋体" w:cs="宋体"/>
          <w:sz w:val="24"/>
          <w:szCs w:val="24"/>
        </w:rPr>
        <w:t xml:space="preserve"> 阶段三：拓展证明与理论修正</w:t>
      </w:r>
    </w:p>
    <w:p w14:paraId="445383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4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任务</w:t>
      </w:r>
      <w:r>
        <w:rPr>
          <w:rFonts w:hint="eastAsia" w:ascii="宋体" w:hAnsi="宋体" w:eastAsia="宋体" w:cs="宋体"/>
          <w:sz w:val="24"/>
          <w:szCs w:val="24"/>
        </w:rPr>
        <w:t>：识别局限并提出新方向。</w:t>
      </w:r>
    </w:p>
    <w:p w14:paraId="1DFA71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4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输出要求</w:t>
      </w:r>
      <w:r>
        <w:rPr>
          <w:rFonts w:hint="eastAsia" w:ascii="宋体" w:hAnsi="宋体" w:eastAsia="宋体" w:cs="宋体"/>
          <w:sz w:val="24"/>
          <w:szCs w:val="24"/>
        </w:rPr>
        <w:t>：</w:t>
      </w:r>
    </w:p>
    <w:p w14:paraId="60B64D62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4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明确指出当前模型的偏差或假设缺陷；</w:t>
      </w:r>
    </w:p>
    <w:p w14:paraId="2C435D83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4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提出至少一项原创性拓展（新机制/修正/跨猜想联系）；</w:t>
      </w:r>
    </w:p>
    <w:p w14:paraId="342339D9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4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给出初步论证（公式草稿、类比、数值佐证等）。</w:t>
      </w:r>
    </w:p>
    <w:p w14:paraId="443895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4" w:lineRule="auto"/>
        <w:ind w:left="420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禁止</w:t>
      </w:r>
      <w:r>
        <w:rPr>
          <w:rFonts w:hint="eastAsia" w:ascii="宋体" w:hAnsi="宋体" w:eastAsia="宋体" w:cs="宋体"/>
          <w:sz w:val="24"/>
          <w:szCs w:val="24"/>
        </w:rPr>
        <w:t>：空想类比、声称已证著名猜想、无实质内容。</w:t>
      </w:r>
    </w:p>
    <w:p w14:paraId="07D9BA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4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其核心目标是将开放性探索转化为可评估、可复现的科学实践，使创造力具备可验证的锚点。</w:t>
      </w:r>
    </w:p>
    <w:p w14:paraId="75942E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4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提示词设计要点</w:t>
      </w:r>
      <w:r>
        <w:rPr>
          <w:rFonts w:hint="eastAsia" w:ascii="宋体" w:hAnsi="宋体" w:eastAsia="宋体" w:cs="宋体"/>
          <w:sz w:val="24"/>
          <w:szCs w:val="24"/>
        </w:rPr>
        <w:t>：采用任务分解式指令，强制结构化输出，嵌入自动化验证接口。</w:t>
      </w:r>
    </w:p>
    <w:p w14:paraId="18C487E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4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 标准化提示词（用于实际测试）</w:t>
      </w:r>
    </w:p>
    <w:p w14:paraId="304CB5A3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4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你是一位正在参与 OpenSciEval 科学创造力评测的研究智能体。请仔细阅读上述指南，特别是“执行路径与验证协议”中的三个阶段。</w:t>
      </w:r>
    </w:p>
    <w:p w14:paraId="5CA037BE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4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</w:p>
    <w:p w14:paraId="3B3E5E32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4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请使用清晰章节标题组织内容。若涉及代码，请确保可复现；若涉及公式，请用 LaTeX 格式。</w:t>
      </w:r>
    </w:p>
    <w:p w14:paraId="3B050E6B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4" w:lineRule="auto"/>
        <w:textAlignment w:val="baseline"/>
        <w:rPr>
          <w:rFonts w:hint="eastAsia" w:ascii="宋体" w:hAnsi="宋体" w:eastAsia="宋体" w:cs="宋体"/>
          <w:sz w:val="24"/>
          <w:szCs w:val="24"/>
        </w:rPr>
      </w:pPr>
    </w:p>
    <w:p w14:paraId="13074CE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4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6. 评测方法与评分细则（供评测方使用）</w:t>
      </w:r>
    </w:p>
    <w:tbl>
      <w:tblPr>
        <w:tblStyle w:val="9"/>
        <w:tblW w:w="8516" w:type="dxa"/>
        <w:jc w:val="center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autofit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084"/>
        <w:gridCol w:w="2784"/>
        <w:gridCol w:w="1013"/>
        <w:gridCol w:w="3635"/>
      </w:tblGrid>
      <w:tr w14:paraId="6D1963CE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0" w:hRule="atLeast"/>
          <w:tblHeader/>
          <w:jc w:val="center"/>
        </w:trPr>
        <w:tc>
          <w:tcPr>
            <w:tcW w:w="1084" w:type="dxa"/>
            <w:vAlign w:val="center"/>
          </w:tcPr>
          <w:p w14:paraId="0FF512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阶段</w:t>
            </w:r>
          </w:p>
        </w:tc>
        <w:tc>
          <w:tcPr>
            <w:tcW w:w="2784" w:type="dxa"/>
            <w:vAlign w:val="center"/>
          </w:tcPr>
          <w:p w14:paraId="5F2E6A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考察能力</w:t>
            </w:r>
          </w:p>
        </w:tc>
        <w:tc>
          <w:tcPr>
            <w:tcW w:w="1013" w:type="dxa"/>
            <w:vAlign w:val="center"/>
          </w:tcPr>
          <w:p w14:paraId="28F25C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分值</w:t>
            </w:r>
          </w:p>
        </w:tc>
        <w:tc>
          <w:tcPr>
            <w:tcW w:w="3635" w:type="dxa"/>
            <w:vAlign w:val="center"/>
          </w:tcPr>
          <w:p w14:paraId="53EF3A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评估方式</w:t>
            </w:r>
          </w:p>
        </w:tc>
      </w:tr>
      <w:tr w14:paraId="5035A2FB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0" w:hRule="atLeast"/>
          <w:jc w:val="center"/>
        </w:trPr>
        <w:tc>
          <w:tcPr>
            <w:tcW w:w="1084" w:type="dxa"/>
            <w:vAlign w:val="center"/>
          </w:tcPr>
          <w:p w14:paraId="2E3910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一</w:t>
            </w:r>
          </w:p>
        </w:tc>
        <w:tc>
          <w:tcPr>
            <w:tcW w:w="2784" w:type="dxa"/>
            <w:vAlign w:val="center"/>
          </w:tcPr>
          <w:p w14:paraId="75F2BC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符号逻辑与公理化建模</w:t>
            </w:r>
          </w:p>
        </w:tc>
        <w:tc>
          <w:tcPr>
            <w:tcW w:w="1013" w:type="dxa"/>
            <w:vAlign w:val="center"/>
          </w:tcPr>
          <w:p w14:paraId="6A740E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</w:t>
            </w:r>
          </w:p>
        </w:tc>
        <w:tc>
          <w:tcPr>
            <w:tcW w:w="3635" w:type="dxa"/>
            <w:vAlign w:val="center"/>
          </w:tcPr>
          <w:p w14:paraId="56F14A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LLM-as-a-Judge + 形式化类型检查</w:t>
            </w:r>
          </w:p>
        </w:tc>
      </w:tr>
      <w:tr w14:paraId="6C50CCBD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0" w:hRule="atLeast"/>
          <w:jc w:val="center"/>
        </w:trPr>
        <w:tc>
          <w:tcPr>
            <w:tcW w:w="1084" w:type="dxa"/>
            <w:vAlign w:val="center"/>
          </w:tcPr>
          <w:p w14:paraId="2FB347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二</w:t>
            </w:r>
          </w:p>
        </w:tc>
        <w:tc>
          <w:tcPr>
            <w:tcW w:w="2784" w:type="dxa"/>
            <w:vAlign w:val="center"/>
          </w:tcPr>
          <w:p w14:paraId="7266F2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数值分析与仿真实现</w:t>
            </w:r>
          </w:p>
        </w:tc>
        <w:tc>
          <w:tcPr>
            <w:tcW w:w="1013" w:type="dxa"/>
            <w:vAlign w:val="center"/>
          </w:tcPr>
          <w:p w14:paraId="7A09FA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10</w:t>
            </w:r>
          </w:p>
        </w:tc>
        <w:tc>
          <w:tcPr>
            <w:tcW w:w="3635" w:type="dxa"/>
            <w:vAlign w:val="center"/>
          </w:tcPr>
          <w:p w14:paraId="67FD87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自动化沙箱运行 + 统计比对</w:t>
            </w:r>
          </w:p>
        </w:tc>
      </w:tr>
      <w:tr w14:paraId="18CEC94B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0" w:hRule="atLeast"/>
          <w:jc w:val="center"/>
        </w:trPr>
        <w:tc>
          <w:tcPr>
            <w:tcW w:w="1084" w:type="dxa"/>
            <w:vAlign w:val="center"/>
          </w:tcPr>
          <w:p w14:paraId="1D5E19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三</w:t>
            </w:r>
          </w:p>
        </w:tc>
        <w:tc>
          <w:tcPr>
            <w:tcW w:w="2784" w:type="dxa"/>
            <w:vAlign w:val="center"/>
          </w:tcPr>
          <w:p w14:paraId="1B55F7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溯因推理与假设生成</w:t>
            </w:r>
          </w:p>
        </w:tc>
        <w:tc>
          <w:tcPr>
            <w:tcW w:w="1013" w:type="dxa"/>
            <w:vAlign w:val="center"/>
          </w:tcPr>
          <w:p w14:paraId="677813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30</w:t>
            </w:r>
          </w:p>
        </w:tc>
        <w:tc>
          <w:tcPr>
            <w:tcW w:w="3635" w:type="dxa"/>
            <w:vAlign w:val="center"/>
          </w:tcPr>
          <w:p w14:paraId="1A0261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专家盲审 + 社区反馈（如 MathOverflow）</w:t>
            </w:r>
          </w:p>
        </w:tc>
      </w:tr>
      <w:tr w14:paraId="1D9A4029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0" w:hRule="atLeast"/>
          <w:jc w:val="center"/>
        </w:trPr>
        <w:tc>
          <w:tcPr>
            <w:tcW w:w="1084" w:type="dxa"/>
            <w:vAlign w:val="center"/>
          </w:tcPr>
          <w:p w14:paraId="1240FC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突破条款</w:t>
            </w:r>
          </w:p>
        </w:tc>
        <w:tc>
          <w:tcPr>
            <w:tcW w:w="2784" w:type="dxa"/>
            <w:vAlign w:val="center"/>
          </w:tcPr>
          <w:p w14:paraId="13B171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历史性创新（如推进著名猜想）</w:t>
            </w:r>
          </w:p>
        </w:tc>
        <w:tc>
          <w:tcPr>
            <w:tcW w:w="1013" w:type="dxa"/>
            <w:vAlign w:val="center"/>
          </w:tcPr>
          <w:p w14:paraId="455FF0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+40</w:t>
            </w:r>
          </w:p>
        </w:tc>
        <w:tc>
          <w:tcPr>
            <w:tcW w:w="3635" w:type="dxa"/>
            <w:vAlign w:val="center"/>
          </w:tcPr>
          <w:p w14:paraId="1406FF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国际专家委员会确认</w:t>
            </w:r>
          </w:p>
        </w:tc>
      </w:tr>
    </w:tbl>
    <w:p w14:paraId="61FC5468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4" w:lineRule="auto"/>
        <w:textAlignment w:val="baseline"/>
        <w:rPr>
          <w:rFonts w:hint="eastAsia" w:ascii="宋体" w:hAnsi="宋体" w:eastAsia="宋体" w:cs="宋体"/>
          <w:sz w:val="24"/>
          <w:szCs w:val="24"/>
        </w:rPr>
      </w:pPr>
    </w:p>
    <w:p w14:paraId="3349A609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4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总分 100 = 基础分（60）+ 突破分（40）</w:t>
      </w:r>
    </w:p>
    <w:p w14:paraId="702676D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4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使用说明</w:t>
      </w:r>
    </w:p>
    <w:p w14:paraId="69AF3220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4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替换指南</w:t>
      </w:r>
      <w:r>
        <w:rPr>
          <w:rFonts w:hint="eastAsia" w:ascii="宋体" w:hAnsi="宋体" w:eastAsia="宋体" w:cs="宋体"/>
          <w:sz w:val="24"/>
          <w:szCs w:val="24"/>
        </w:rPr>
        <w:t xml:space="preserve">：将第1–3节中的“示例”内容替换为目标领域的科学问题（如“蛋白质折叠 </w:t>
      </w:r>
      <w:r>
        <w:rPr>
          <w:rStyle w:val="15"/>
          <w:rFonts w:hint="eastAsia" w:ascii="宋体" w:hAnsi="宋体" w:eastAsia="宋体" w:cs="宋体"/>
          <w:sz w:val="24"/>
          <w:szCs w:val="24"/>
        </w:rPr>
        <w:t>↔</w:t>
      </w:r>
      <w:r>
        <w:rPr>
          <w:rFonts w:hint="eastAsia" w:ascii="宋体" w:hAnsi="宋体" w:eastAsia="宋体" w:cs="宋体"/>
          <w:sz w:val="24"/>
          <w:szCs w:val="24"/>
        </w:rPr>
        <w:t xml:space="preserve"> Ising 模型”），即可生成新挑战。</w:t>
      </w:r>
    </w:p>
    <w:p w14:paraId="7195B44E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4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保留结构</w:t>
      </w:r>
      <w:r>
        <w:rPr>
          <w:rFonts w:hint="eastAsia" w:ascii="宋体" w:hAnsi="宋体" w:eastAsia="宋体" w:cs="宋体"/>
          <w:sz w:val="24"/>
          <w:szCs w:val="24"/>
        </w:rPr>
        <w:t>：第4–6节为通用框架，无需修改。</w:t>
      </w:r>
    </w:p>
    <w:p w14:paraId="2C33AC18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4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开源建议</w:t>
      </w:r>
      <w:r>
        <w:rPr>
          <w:rFonts w:hint="eastAsia" w:ascii="宋体" w:hAnsi="宋体" w:eastAsia="宋体" w:cs="宋体"/>
          <w:sz w:val="24"/>
          <w:szCs w:val="24"/>
        </w:rPr>
        <w:t xml:space="preserve">：配套发布 </w:t>
      </w:r>
      <w:r>
        <w:rPr>
          <w:rStyle w:val="15"/>
          <w:rFonts w:hint="eastAsia" w:ascii="宋体" w:hAnsi="宋体" w:eastAsia="宋体" w:cs="宋体"/>
          <w:sz w:val="24"/>
          <w:szCs w:val="24"/>
        </w:rPr>
        <w:t>ose-challenges/</w:t>
      </w:r>
      <w:r>
        <w:rPr>
          <w:rFonts w:hint="eastAsia" w:ascii="宋体" w:hAnsi="宋体" w:eastAsia="宋体" w:cs="宋体"/>
          <w:sz w:val="24"/>
          <w:szCs w:val="24"/>
        </w:rPr>
        <w:t xml:space="preserve"> 仓库，收录各领域挑战包。</w:t>
      </w:r>
    </w:p>
    <w:p w14:paraId="537D0FDB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4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项目github：</w:t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HYPERLINK "https://github.com/maris205/open_sci_eval"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Style w:val="11"/>
          <w:rFonts w:hint="eastAsia" w:ascii="宋体" w:hAnsi="宋体" w:eastAsia="宋体" w:cs="宋体"/>
          <w:sz w:val="24"/>
          <w:szCs w:val="24"/>
        </w:rPr>
        <w:t>https://github.com/maris205/open</w:t>
      </w:r>
      <w:bookmarkStart w:id="0" w:name="_GoBack"/>
      <w:bookmarkEnd w:id="0"/>
      <w:r>
        <w:rPr>
          <w:rStyle w:val="11"/>
          <w:rFonts w:hint="eastAsia" w:ascii="宋体" w:hAnsi="宋体" w:eastAsia="宋体" w:cs="宋体"/>
          <w:sz w:val="24"/>
          <w:szCs w:val="24"/>
        </w:rPr>
        <w:t>_sci_eval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</w:p>
    <w:sectPr>
      <w:pgSz w:w="14706" w:h="16838"/>
      <w:pgMar w:top="1440" w:right="46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abstractNum w:abstractNumId="1">
    <w:nsid w:val="20000002"/>
    <w:multiLevelType w:val="multilevel"/>
    <w:tmpl w:val="20000002"/>
    <w:lvl w:ilvl="0" w:tentative="0">
      <w:start w:val="1"/>
      <w:numFmt w:val="bullet"/>
      <w:lvlText w:val=""/>
      <w:lvlJc w:val="left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lvlJc w:val="left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lvlJc w:val="left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lvlJc w:val="left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D255BF"/>
    <w:rsid w:val="052D4EEB"/>
    <w:rsid w:val="0EE52393"/>
    <w:rsid w:val="12655CC4"/>
    <w:rsid w:val="15791A87"/>
    <w:rsid w:val="28690B2E"/>
    <w:rsid w:val="29696034"/>
    <w:rsid w:val="2CA84CD4"/>
    <w:rsid w:val="40664832"/>
    <w:rsid w:val="4A5971B6"/>
    <w:rsid w:val="51D27F79"/>
    <w:rsid w:val="68556DB7"/>
    <w:rsid w:val="74F040EF"/>
    <w:rsid w:val="776C7C79"/>
    <w:rsid w:val="786C618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1856</Words>
  <Characters>2140</Characters>
  <TotalTime>1</TotalTime>
  <ScaleCrop>false</ScaleCrop>
  <LinksUpToDate>false</LinksUpToDate>
  <CharactersWithSpaces>2211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2025-12-16T17:44:00Z</dcterms:created>
  <dc:creator>webotl</dc:creator>
  <cp:lastModifiedBy>王亮@appbk.com</cp:lastModifiedBy>
  <dcterms:modified xsi:type="dcterms:W3CDTF">2025-12-16T09:49:24Z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TemplateDocerSaveRecord">
    <vt:lpwstr>eyJoZGlkIjoiZWM5MjE3ZThhOGI4ODJkZmY4NThlMzNkNzIyNTE3NjMiLCJ1c2VySWQiOiI3NDMxNzEzNTYifQ==</vt:lpwstr>
  </property>
  <property fmtid="{D5CDD505-2E9C-101B-9397-08002B2CF9AE}" pid="4" name="KSOProductBuildVer">
    <vt:lpwstr>2052-12.1.0.24034</vt:lpwstr>
  </property>
  <property fmtid="{D5CDD505-2E9C-101B-9397-08002B2CF9AE}" pid="5" name="ICV">
    <vt:lpwstr>D8A4E7044CB8459BA514CEE869B1C422_12</vt:lpwstr>
  </property>
</Properties>
</file>