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710F" w:rsidRDefault="003B710F" w:rsidP="003B710F">
      <w:r>
        <w:t>Comment 1: The derivation of the core 1/ln^{2n} scaling law (Equation 8 and Section 5.1) is fundamentally heuristic rather than rigorous. The author asserts a "topological isomorphism chain" but the step ΔΦ</w:t>
      </w:r>
      <w:r>
        <w:rPr>
          <w:rFonts w:ascii="Cambria Math" w:hAnsi="Cambria Math" w:cs="Cambria Math"/>
        </w:rPr>
        <w:t>∝</w:t>
      </w:r>
      <w:r>
        <w:t>ΔE is an assumption, not a derived result. This is the central mechanism of the entire paper—without rigorous justification, the model appears constructed to fit the target rather than emerging from first principles. The author should either provide a genuine derivation or explicitly re-frame this as a phenomenological ansatz and discuss its limitations.</w:t>
      </w:r>
    </w:p>
    <w:p w:rsidR="003B710F" w:rsidRDefault="003B710F" w:rsidP="003B710F"/>
    <w:p w:rsidR="003B710F" w:rsidRDefault="003B710F" w:rsidP="003B710F">
      <w:r>
        <w:t xml:space="preserve">Comment 2: The numerical optimization of the discretization parameter ϵ through minimizing </w:t>
      </w:r>
      <w:proofErr w:type="spellStart"/>
      <w:r>
        <w:t>ErrSum</w:t>
      </w:r>
      <w:proofErr w:type="spellEnd"/>
      <w:r>
        <w:t xml:space="preserve"> for the first 6 zeros (Equation 6) raises serious concerns about overfitting. The model has multiple free parameters (</w:t>
      </w:r>
      <w:proofErr w:type="spellStart"/>
      <w:r>
        <w:t>μ_c</w:t>
      </w:r>
      <w:proofErr w:type="spellEnd"/>
      <w:r>
        <w:t>, k_1, k_2, ϵ) that are tuned to match low-lying zeros, and the "lock-in" phenomenon may be a consequence of this fitting procedure rather than a genuine dynamical feature. The author should provide stability analyses showing the results are robust to variations in fitting methodology and should clearly distinguish fitted vs. predicted quantities.</w:t>
      </w:r>
    </w:p>
    <w:p w:rsidR="003B710F" w:rsidRDefault="003B710F" w:rsidP="003B710F"/>
    <w:p w:rsidR="003B710F" w:rsidRDefault="003B710F" w:rsidP="003B710F">
      <w:r>
        <w:t>Comment 3: The comparison to the USTC quantum simulation data (Figures 3, 5) is visually suggestive but statistically underdeveloped. The author notes the spatial coincidence of error features near N≈20 but provides no quantitative measure of significance (e.g., what is the probability of observing such coincidence by chance?). Given the author explicitly states the error sources are physically distinct, this comparison should be substantially downplayed or removed from the main text and moved to a speculative discussion section with appropriate statistical caveats.</w:t>
      </w:r>
    </w:p>
    <w:p w:rsidR="003B710F" w:rsidRDefault="003B710F" w:rsidP="003B710F"/>
    <w:p w:rsidR="003B710F" w:rsidRDefault="003B710F" w:rsidP="003B710F">
      <w:r>
        <w:t>Comment 4: The treatment of the GUE random matrix baseline (Section 3.2.3, Figure 6) is presented in a way that could mislead readers. The GUE is known to match the unfolded local statistics of Riemann zeros, not the absolute energy levels. The author's comparison showing GUE deviates in the counting-function comparison is therefore expected and does not constitute a meaningful ablation. This should be reframed as an asymmetric comparison that demonstrates the model reproduces mean density, not as a "failure" of RMT.</w:t>
      </w:r>
    </w:p>
    <w:p w:rsidR="003B710F" w:rsidRDefault="003B710F" w:rsidP="003B710F"/>
    <w:p w:rsidR="003B710F" w:rsidRDefault="003B710F" w:rsidP="003B710F">
      <w:r>
        <w:t xml:space="preserve">Comment 5: The transition from Gaussian splatting to Monte Carlo trajectory sampling between the N=20 and N=100 regimes (Sections 3.1.4 to 3.2.1) </w:t>
      </w:r>
      <w:r w:rsidR="00866F9B">
        <w:t>introduce</w:t>
      </w:r>
      <w:r>
        <w:t xml:space="preserve"> a significant methodological discontinuity. The author does not demonstrate that these two computational approaches yield consistent results in overlapping regimes, raising concerns that the macroscopic results are not a natural extension of the microscopic findings but reflect different numerical artifacts.</w:t>
      </w:r>
    </w:p>
    <w:p w:rsidR="003B710F" w:rsidRDefault="003B710F" w:rsidP="003B710F"/>
    <w:p w:rsidR="003B710F" w:rsidRDefault="003B710F" w:rsidP="003B710F">
      <w:r>
        <w:t xml:space="preserve">Comment 6: The "vanishing fitted intercept" claim for the conjugate full-spectrum (Strategy D, b≈0.000) is presented as a significant finding, but the author acknowledges this is a "numerical observation" without explaining why this should be physically meaningful. Since any real-valued matrix yields conjugate </w:t>
      </w:r>
      <w:proofErr w:type="spellStart"/>
      <w:r>
        <w:t>eigenphases</w:t>
      </w:r>
      <w:proofErr w:type="spellEnd"/>
      <w:r>
        <w:t xml:space="preserve"> by construction, the observation that a linear fit through both positive and negative phases yields b≈0 is arguably trivial. The author should clarify what specific dynamical content this observation is meant to convey.</w:t>
      </w:r>
    </w:p>
    <w:p w:rsidR="003B710F" w:rsidRDefault="003B710F" w:rsidP="003B710F"/>
    <w:p w:rsidR="003B710F" w:rsidRDefault="003B710F" w:rsidP="003B710F">
      <w:r>
        <w:t>Comment 7: The Wilsonian Renormalization Group interpretation of the k_1 parameter shift with grid resolution (Section 3.2.3) is suggestive but lacks formal justification. The connection between numerical grid resolution as a UV cutoff and the running coupling constant is at best an analogy and at worst an over-interpretation of computational parameters. The author should either provide a concrete RG derivation or substantially moderate this language.</w:t>
      </w:r>
    </w:p>
    <w:p w:rsidR="003B710F" w:rsidRDefault="003B710F" w:rsidP="003B710F"/>
    <w:p w:rsidR="003B710F" w:rsidRDefault="003B710F" w:rsidP="003B710F">
      <w:r>
        <w:t>Comment 8: The manuscript suffers from an excess of rhetorical language that obscures the modest scope of the numerical findings. Terms like "spectral isomorphism," "topological rigidity," "global cooling inertia," and "spontaneous calibrator" imply deeper mathematical significance than the numerical observations warrant. The author should adopt more neutral, descriptive language throughout, particularly in the abstract and conclusions.</w:t>
      </w:r>
    </w:p>
    <w:p w:rsidR="003B710F" w:rsidRDefault="003B710F" w:rsidP="003B710F"/>
    <w:p w:rsidR="003B710F" w:rsidRDefault="003B710F" w:rsidP="003B710F">
      <w:r>
        <w:t>Comment 9: The epistemic status table (Table 2) is a welcome feature, but the categorization is inconsistent. Several items labeled "numerical observation" (e.g., "Change of behavior near N≈20") are not rigorously established as systematic features—they appear as isolated spikes in residual plots that could be artifacts of the numerical scheme or the particular realization of random initial conditions. The author should provide convergence studies (e.g., dependence on random seed, grid resolution, integration time) to establish these as robust observations.</w:t>
      </w:r>
    </w:p>
    <w:p w:rsidR="003B710F" w:rsidRDefault="003B710F" w:rsidP="003B710F"/>
    <w:p w:rsidR="003B710F" w:rsidRDefault="003B710F" w:rsidP="003B710F">
      <w:r>
        <w:t>Comment 10: The manuscript structure is unusually long with substantial repetition across sections. The N=20 residual feature is described in Sections 3.1.3, 3.1.4, 4.3, and elsewhere with nearly identical wording. Similarly, the conjugate symmetry discussion is repeated in multiple locations. A major revision should streamline the narrative, consolidate redundant discussions, and present a clear logical progression from method to results to interpretation.</w:t>
      </w:r>
    </w:p>
    <w:p w:rsidR="003B710F" w:rsidRDefault="003B710F" w:rsidP="003B710F"/>
    <w:p w:rsidR="003B710F" w:rsidRDefault="003B710F" w:rsidP="003B710F">
      <w:r>
        <w:t>The paper addresses an interesting question but has substantial methodological, theoretical, and presentational weaknesses that preclude acceptance in its current form. The author should carefully address each of the ten major comments and correct the numerous minor errors. A detailed response letter explaining how each comment has been addressed will be required upon resubmission.</w:t>
      </w:r>
    </w:p>
    <w:sectPr w:rsidR="003B7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0F"/>
    <w:rsid w:val="003B710F"/>
    <w:rsid w:val="00866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48A1690-D247-D542-B675-88F56D7D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2026-08-11T08:02:00Z</dcterms:created>
  <dcterms:modified xsi:type="dcterms:W3CDTF">2026-08-11T08:52:00Z</dcterms:modified>
</cp:coreProperties>
</file>