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A6B" w:rsidRDefault="00137C55">
      <w:pPr>
        <w:pStyle w:val="Title"/>
      </w:pPr>
      <w:r>
        <w:t>Modeling the influence of language input statistics on children’s speech production</w:t>
      </w:r>
    </w:p>
    <w:p w:rsidR="00162A6B" w:rsidRDefault="00137C55">
      <w:pPr>
        <w:pStyle w:val="FirstParagraph"/>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h1-pagebreak"/>
      </w:pPr>
      <w:r>
        <w:lastRenderedPageBreak/>
        <w:t>Abstract</w:t>
      </w:r>
    </w:p>
    <w:p w:rsidR="00162A6B" w:rsidRDefault="00137C55">
      <w:pPr>
        <w:pStyle w:val="BodyText"/>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w:t>
      </w:r>
      <w:r>
        <w:rPr>
          <w:b/>
        </w:rPr>
        <w:t>reconstructs</w:t>
      </w:r>
      <w:r>
        <w:t xml:space="preserve">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rPr>
        <w:t>.</w:t>
      </w:r>
    </w:p>
    <w:p w:rsidR="00162A6B" w:rsidRDefault="00137C55">
      <w:pPr>
        <w:pStyle w:val="BodyText"/>
      </w:pPr>
      <w:r>
        <w:rPr>
          <w:i/>
        </w:rPr>
        <w:t>Keywords:</w:t>
      </w:r>
      <w:r>
        <w:t xml:space="preserve"> statistical learning, language learning, abstraction, developmental trajectory, age-invariance, CHILDES, children</w:t>
      </w:r>
    </w:p>
    <w:p w:rsidR="00162A6B" w:rsidRDefault="00137C55">
      <w:pPr>
        <w:pStyle w:val="BodyText"/>
      </w:pPr>
      <w:r>
        <w:rPr>
          <w:i/>
        </w:rPr>
        <w:t>Word count:</w:t>
      </w:r>
      <w:r>
        <w:t xml:space="preserve"> </w:t>
      </w:r>
      <w:r w:rsidR="002140A2">
        <w:rPr>
          <w:b/>
          <w:color w:val="F79646" w:themeColor="accent6"/>
        </w:rPr>
        <w:t>9887</w:t>
      </w:r>
      <w:r w:rsidRPr="00AD0644">
        <w:rPr>
          <w:b/>
          <w:color w:val="F79646" w:themeColor="accent6"/>
        </w:rPr>
        <w:t xml:space="preserve"> (</w:t>
      </w:r>
      <w:r w:rsidR="002140A2">
        <w:rPr>
          <w:b/>
          <w:color w:val="F79646" w:themeColor="accent6"/>
        </w:rPr>
        <w:t>7954</w:t>
      </w:r>
      <w:r w:rsidRPr="00AD0644">
        <w:rPr>
          <w:b/>
          <w:color w:val="F79646" w:themeColor="accent6"/>
        </w:rPr>
        <w:t xml:space="preserve"> excluding references)</w:t>
      </w:r>
    </w:p>
    <w:p w:rsidR="00162A6B" w:rsidRDefault="00137C55">
      <w:pPr>
        <w:pStyle w:val="h1-pagebreak"/>
      </w:pPr>
      <w:r>
        <w:lastRenderedPageBreak/>
        <w:t>Modeling the influence of language input statistics on children’s speech production</w:t>
      </w:r>
    </w:p>
    <w:p w:rsidR="00162A6B" w:rsidRDefault="00137C55">
      <w:pPr>
        <w:pStyle w:val="BodyText"/>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Kirkham (2018) for a recent review). By its nature, work in this domain is heavily concerned with at least two 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 Perruchet &amp; Desaulty, 2008)—is able to </w:t>
      </w:r>
      <w:r w:rsidRPr="00AD0644">
        <w:rPr>
          <w:b/>
          <w:color w:val="F79646" w:themeColor="accent6"/>
        </w:rPr>
        <w:t>reconstruct</w:t>
      </w:r>
      <w:r>
        <w:t xml:space="preserve"> children’s speech productions with stable accuracy as they get older</w:t>
      </w:r>
      <w:r w:rsidRPr="00AD0644">
        <w:rPr>
          <w:color w:val="F79646" w:themeColor="accent6"/>
        </w:rPr>
        <w:t>.</w:t>
      </w:r>
    </w:p>
    <w:p w:rsidR="00162A6B" w:rsidRDefault="00137C55">
      <w:pPr>
        <w:pStyle w:val="Heading2"/>
      </w:pPr>
      <w:bookmarkStart w:id="0" w:name="statistical-learning-over-development"/>
      <w:r>
        <w:t>Statistical learning over development</w:t>
      </w:r>
      <w:bookmarkEnd w:id="0"/>
    </w:p>
    <w:p w:rsidR="00162A6B" w:rsidRDefault="00137C55">
      <w:pPr>
        <w:pStyle w:val="FirstParagraph"/>
      </w:pPr>
      <w:r>
        <w:t xml:space="preserve">The ability to detect and store patterns in the environment begins in infancy (e.g., Johnson et al., 2009; Kidd, Junge, Spokes, Morrison, &amp; Cutler, 2018; Saffran et al., 1996; Teinonen, Fellman, Näätänen, Alku, &amp; Huotilainen, 2009), continues into adulthood (e.g., Conway, Bauernschmidt, Huang, &amp; Pisoni, 2010; Frost &amp; Monaghan, 2016; Saffran, Johnson, Aslin, &amp; </w:t>
      </w:r>
      <w:r>
        <w:lastRenderedPageBreak/>
        <w:t>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 (2009); see also Bulf, Johnson, &amp; Valenza, (2011), and Slone &amp; Johnson, (2015)).</w:t>
      </w:r>
    </w:p>
    <w:p w:rsidR="00162A6B" w:rsidRDefault="00137C55">
      <w:pPr>
        <w:pStyle w:val="BodyText"/>
      </w:pPr>
      <w:r>
        <w:t>These changes in SL ability during infancy and early childhood may relate to changes in other fundamental cognitive skills. For example, SL-relevant brain regions, such as the pre-frontal cortex, continue maturing through childhood (Casey, Giedd, &amp; Thomas, 2000; Diamond, 2002; Rodríguez-Fornells, Cunillera, Mestres-Missé, &amp; Diego-Balaguer, 2009; Uylings, 2006), which may change how children attend to the linguistic information around them as they get older. Similarly, infants’ long-term memory continuously improves between ages 0;2 and 1;6 (Bauer, 2005; Wojcik, 2013). Therefore, the manner in which they store linguistic regularities in long-term memory may also shift during this period. Relatedly, working memory and speed of 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rsidR="00162A6B" w:rsidRDefault="00137C55">
      <w:pPr>
        <w:pStyle w:val="BodyText"/>
      </w:pPr>
      <w:r>
        <w:lastRenderedPageBreak/>
        <w:t>Continued exposure to linguistic input itself can also be an impetus for change in SL ability—a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 ‘dog’ and ‘I wanna’; or multi-word combinations, ‘where’s the …’; Tomasello (2008)). Then, over time, children are proposed to form abstract schemas centered on lexical items (see also Bannard et al. (2009) and Chang et al.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Lany and Gómez (2008)).</w:t>
      </w:r>
    </w:p>
    <w:p w:rsidR="00162A6B" w:rsidRDefault="00137C55">
      <w:pPr>
        <w:pStyle w:val="BodyText"/>
      </w:pPr>
      <w:r>
        <w:t xml:space="preserve">Change in SL ability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statistical dependencies in the language input (e.g., between words or syllables) to store chunks of co-occurring forms. Dependencies between the chunks themselves can also be tracked with continued exposure and chunk storage (see, e.g., Jost &amp; Christiansen, 2016). In this case, the development of a detailed chunk inventory can gradually change SL performance. Fundamentally, however, this apparent change in SL still comes through the use of the original underlying mechanisms (Misyak et al., 2012); there is no qualitative change in how the system </w:t>
      </w:r>
      <w:r>
        <w:lastRenderedPageBreak/>
        <w:t>processes data, and the mechanisms for processing, storing, and deploying information stay the same.</w:t>
      </w:r>
    </w:p>
    <w:p w:rsidR="00162A6B" w:rsidRPr="00AD0644" w:rsidRDefault="00137C55">
      <w:pPr>
        <w:pStyle w:val="BodyText"/>
        <w:rPr>
          <w:color w:val="F79646" w:themeColor="accent6"/>
        </w:rPr>
      </w:pPr>
      <w:r w:rsidRPr="00AD0644">
        <w:rPr>
          <w:b/>
          <w:color w:val="F79646" w:themeColor="accent6"/>
        </w:rPr>
        <w:t xml:space="preserve">Our aim in the present study was to investigate the possibility of developmental change in SL by focusing on a single mechanism that is proposed be at work over the longer arc of early language development (i.e., in speech segmentation </w:t>
      </w:r>
      <w:r w:rsidRPr="00AD0644">
        <w:rPr>
          <w:b/>
          <w:i/>
          <w:color w:val="F79646" w:themeColor="accent6"/>
        </w:rPr>
        <w:t>and</w:t>
      </w:r>
      <w:r w:rsidRPr="00AD0644">
        <w:rPr>
          <w:b/>
          <w:color w:val="F79646" w:themeColor="accent6"/>
        </w:rPr>
        <w:t xml:space="preserve"> 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 (McCauley &amp; Christiansen, 2011; Onnis &amp; Thiessen, 2013; Pelucchi, Hay, &amp; Saffran, 2009; Perruchet &amp; Desaulty, 2008). Further, BTP has been proposed as a continuous mechanism over development, influencing language processing from infancy to adulthood (Christiansen &amp; Chater, 2016; McCauley &amp; Christiansen, 2019a; Misyak et al., 2012). 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rsidR="00162A6B" w:rsidRPr="00AD0644" w:rsidRDefault="00137C55">
      <w:pPr>
        <w:pStyle w:val="BodyText"/>
        <w:rPr>
          <w:color w:val="F79646" w:themeColor="accent6"/>
        </w:rPr>
      </w:pPr>
      <w:r w:rsidRPr="00AD0644">
        <w:rPr>
          <w:b/>
          <w:color w:val="F79646" w:themeColor="accent6"/>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w:t>
      </w:r>
      <w:r w:rsidRPr="00AD0644">
        <w:rPr>
          <w:b/>
          <w:color w:val="F79646" w:themeColor="accent6"/>
        </w:rPr>
        <w:lastRenderedPageBreak/>
        <w:t>and how we evaluate its results. We then describe the model’s accuracy across the tested age range and discuss the implications and limitations of the findings.</w:t>
      </w:r>
    </w:p>
    <w:p w:rsidR="00162A6B" w:rsidRDefault="00137C55">
      <w:pPr>
        <w:pStyle w:val="Heading2"/>
      </w:pPr>
      <w:bookmarkStart w:id="1" w:name="Xf01391642b9b864a48d1f48aff1511e39b0d3f6"/>
      <w:r>
        <w:t>Backward transitional probability and the Chunk-Based Learner</w:t>
      </w:r>
      <w:bookmarkEnd w:id="1"/>
    </w:p>
    <w:p w:rsidR="00162A6B" w:rsidRPr="00AD0644" w:rsidRDefault="00137C55">
      <w:pPr>
        <w:pStyle w:val="FirstParagraph"/>
        <w:rPr>
          <w:color w:val="F79646" w:themeColor="accent6"/>
        </w:rPr>
      </w:pPr>
      <w:r w:rsidRPr="00AD0644">
        <w:rPr>
          <w:b/>
          <w:color w:val="F79646" w:themeColor="accent6"/>
        </w:rPr>
        <w:t>The present study uses a model</w:t>
      </w:r>
      <w:r>
        <w:t xml:space="preserve"> based on McCauley and Christiansen’s (2011, 2014a, 2019a) Chunk-Based Learner (CBL), which uses </w:t>
      </w:r>
      <w:r w:rsidRPr="00AD0644">
        <w:rPr>
          <w:b/>
          <w:color w:val="F79646" w:themeColor="accent6"/>
        </w:rPr>
        <w:t>BTP</w:t>
      </w:r>
      <w:r>
        <w:t xml:space="preserve"> (Perruchet &amp; Desaulty, 2008) to detect statistical dependencies in the speech stream. </w:t>
      </w:r>
      <w:r w:rsidRPr="00AD0644">
        <w:rPr>
          <w:b/>
          <w:color w:val="F79646" w:themeColor="accent6"/>
        </w:rPr>
        <w:t>We chose to focus on the CBL for multiple reasons, as outlined below.</w:t>
      </w:r>
    </w:p>
    <w:p w:rsidR="00162A6B" w:rsidRPr="00AD0644" w:rsidRDefault="00137C55">
      <w:pPr>
        <w:pStyle w:val="BodyText"/>
        <w:rPr>
          <w:color w:val="F79646" w:themeColor="accent6"/>
        </w:rPr>
      </w:pPr>
      <w:r w:rsidRPr="00AD0644">
        <w:rPr>
          <w:b/>
          <w:color w:val="F79646" w:themeColor="accent6"/>
        </w:rPr>
        <w:t>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 (Aslin, Saffran, &amp; Newport, 1998; Cleeremans &amp; Elman, 1993; French, Addyman, &amp; Mareschal, 2011; Mareschal &amp; French, 2017; Onnis &amp; Thiessen, 2013; Pelucchi et al., 2009; Perruchet &amp; Desaulty, 2008; Perruchet &amp; Vinter, 1998; Saffran et al., 1996). While both BTP and FTP have been shown to effectively enable infants, adults, and simulated learners to segment meaningful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 (Bell, Brenier, Gregory, Girand, &amp; Jurafsky, 2009), in shallow parsing of English, French, and German child-directed speech (McCauley &amp; Christiansen, 2019a), and in reconstructing child-produced sentences in 29 languages (McCauley &amp; Christiansen, 2019a).</w:t>
      </w:r>
    </w:p>
    <w:p w:rsidR="00162A6B" w:rsidRPr="00AD0644" w:rsidRDefault="00137C55">
      <w:pPr>
        <w:pStyle w:val="BodyText"/>
        <w:rPr>
          <w:color w:val="F79646" w:themeColor="accent6"/>
        </w:rPr>
      </w:pPr>
      <w:r w:rsidRPr="00AD0644">
        <w:rPr>
          <w:b/>
          <w:color w:val="F79646" w:themeColor="accent6"/>
        </w:rPr>
        <w:lastRenderedPageBreak/>
        <w:t xml:space="preserve">Second, among models using BTP, the CBL was of particular interest in the current study because, at the computational level (Marr, 1982), it is designed to be psycholinguistically plausible for utterance processing (see McCauley and Christiansen (2019a) for a review). It uses BTP to incrementally build up an inventory of speech chunks (e.g., “doggy”, “look at”),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 (Christiansen &amp; Chater, 2016). The model can also utilize its BTP-based chunks to engage in </w:t>
      </w:r>
      <w:r w:rsidRPr="00AD0644">
        <w:rPr>
          <w:b/>
          <w:i/>
          <w:color w:val="F79646" w:themeColor="accent6"/>
        </w:rPr>
        <w:t>predictive</w:t>
      </w:r>
      <w:r w:rsidRPr="00AD0644">
        <w:rPr>
          <w:b/>
          <w:color w:val="F79646" w:themeColor="accent6"/>
        </w:rPr>
        <w:t xml:space="preserve"> processing during parsing tasks (McCauley &amp; Christiansen, 2019a). This “recognition-based prediction” method, together with the central use of multi-word chunks and the parallelism between comprehension and production, renders the CBL impressively consistent with findings from both spontaneous and elicited language processing by adults and children (e.g., Arnon &amp; Snider, 2010; Arnon &amp; Clark, 2011; Diessel &amp; Tomasello, 2000; Ferreira &amp; Patson, 2007; Pickering &amp; Garrod, 2013). Of course, this psycholinguistic plausibility only extends to the computational level of analysis—translations of this model to the algorithmic level will be essential to its long-term utility (Griffiths, Lieder, &amp; Goodman, 2015)—but the CBL’s attention to the incremental, local, and structurally parallel nature of natural language use increased its appeal for the present study.</w:t>
      </w:r>
    </w:p>
    <w:p w:rsidR="00162A6B" w:rsidRPr="00AD0644" w:rsidRDefault="00137C55">
      <w:pPr>
        <w:pStyle w:val="BodyText"/>
        <w:rPr>
          <w:color w:val="F79646" w:themeColor="accent6"/>
        </w:rPr>
      </w:pPr>
      <w:r w:rsidRPr="00AD0644">
        <w:rPr>
          <w:b/>
          <w:color w:val="F79646" w:themeColor="accent6"/>
        </w:rPr>
        <w:t>Third, the CBL has previously succeeded at modeling naturalistic speech production, the task we target in the current paper</w:t>
      </w:r>
      <w:r w:rsidRPr="00AD0644">
        <w:rPr>
          <w:color w:val="F79646" w:themeColor="accent6"/>
        </w:rPr>
        <w:t>.</w:t>
      </w:r>
      <w:r>
        <w:t xml:space="preserve"> For example: (a) </w:t>
      </w:r>
      <w:r w:rsidRPr="00AD0644">
        <w:rPr>
          <w:b/>
          <w:color w:val="F79646" w:themeColor="accent6"/>
        </w:rPr>
        <w:t>as mentioned above,</w:t>
      </w:r>
      <w:r>
        <w:t xml:space="preserve"> </w:t>
      </w:r>
      <w:proofErr w:type="gramStart"/>
      <w:r>
        <w:t>it</w:t>
      </w:r>
      <w:proofErr w:type="gramEnd"/>
      <w:r>
        <w:t xml:space="preserve"> parsed text better than a shallow parser in three different languages (English, German and French)</w:t>
      </w:r>
      <w:r>
        <w:rPr>
          <w:b/>
        </w:rPr>
        <w:t>,</w:t>
      </w:r>
      <w:r>
        <w:t xml:space="preserve"> (b) it was </w:t>
      </w:r>
      <w:r>
        <w:lastRenderedPageBreak/>
        <w:t xml:space="preserve">able to recreate up to 60% of child utterance productions in 13 different languages, and (c) it closely replicated data from an artificial grammar learning study (McCauley &amp; Christiansen, 2011, 2019a; Saffran, 2002). The model has also been able to replicate experimental data on children’s multi-word utterance repetitions (Bannard &amp; Matthews, 2008), over-regularization of irregular plural nouns (Arnon &amp; Clark, 2011), and L2-learner speech </w:t>
      </w:r>
      <w:r w:rsidR="00AD0644">
        <w:t>(</w:t>
      </w:r>
      <w:r>
        <w:t xml:space="preserve">McCauley and Christiansen (2017); </w:t>
      </w:r>
      <w:r w:rsidRPr="00AD0644">
        <w:rPr>
          <w:b/>
          <w:color w:val="F79646" w:themeColor="accent6"/>
        </w:rPr>
        <w:t>McCauley and Christiansen (2014b); McCauley and Christiansen (2019a)</w:t>
      </w:r>
      <w:r w:rsidR="00AD0644">
        <w:t>)</w:t>
      </w:r>
      <w:r>
        <w:t xml:space="preserve">. </w:t>
      </w:r>
      <w:r w:rsidRPr="00AD0644">
        <w:rPr>
          <w:b/>
          <w:color w:val="F79646" w:themeColor="accent6"/>
        </w:rPr>
        <w:t>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rsidR="00162A6B" w:rsidRPr="00AD0644" w:rsidRDefault="00137C55">
      <w:pPr>
        <w:pStyle w:val="Heading3"/>
        <w:framePr w:wrap="around"/>
        <w:rPr>
          <w:color w:val="F79646" w:themeColor="accent6"/>
        </w:rPr>
      </w:pPr>
      <w:bookmarkStart w:id="2" w:name="X90f5f7631df7f4c544b866f2117e7189ab4dede"/>
      <w:r w:rsidRPr="00AD0644">
        <w:rPr>
          <w:color w:val="F79646" w:themeColor="accent6"/>
        </w:rPr>
        <w:t>Basic description of the Chunk-Based Learner.</w:t>
      </w:r>
      <w:bookmarkEnd w:id="2"/>
    </w:p>
    <w:p w:rsidR="00AD0644" w:rsidRDefault="00AD0644">
      <w:pPr>
        <w:pStyle w:val="FirstParagraph"/>
        <w:rPr>
          <w:b/>
          <w:color w:val="F79646" w:themeColor="accent6"/>
        </w:rPr>
      </w:pPr>
    </w:p>
    <w:p w:rsidR="00162A6B" w:rsidRDefault="00137C55">
      <w:pPr>
        <w:pStyle w:val="FirstParagraph"/>
      </w:pPr>
      <w:r w:rsidRPr="00AD0644">
        <w:rPr>
          <w:b/>
          <w:color w:val="F79646" w:themeColor="accent6"/>
        </w:rPr>
        <w:t xml:space="preserve">We first briefly </w:t>
      </w:r>
      <w:proofErr w:type="spellStart"/>
      <w:r w:rsidRPr="00AD0644">
        <w:rPr>
          <w:b/>
          <w:color w:val="F79646" w:themeColor="accent6"/>
        </w:rPr>
        <w:t>desribe</w:t>
      </w:r>
      <w:proofErr w:type="spellEnd"/>
      <w:r w:rsidRPr="00AD0644">
        <w:rPr>
          <w:b/>
          <w:color w:val="F79646" w:themeColor="accent6"/>
        </w:rPr>
        <w:t xml:space="preserve"> the CBL model and the performance metrics we use here.</w:t>
      </w:r>
      <w:r>
        <w:t xml:space="preserve"> BTP for a given pair of words is defined as the occurrence probability of the previous word (w</w:t>
      </w:r>
      <m:oMath>
        <m:sSub>
          <m:sSubPr>
            <m:ctrlPr>
              <w:rPr>
                <w:rFonts w:ascii="Cambria Math" w:hAnsi="Cambria Math"/>
              </w:rPr>
            </m:ctrlPr>
          </m:sSubPr>
          <m:e>
            <m:r>
              <w:rPr>
                <w:rFonts w:ascii="Cambria Math" w:hAnsi="Cambria Math"/>
              </w:rPr>
              <m:t>​</m:t>
            </m:r>
          </m:e>
          <m:sub>
            <m:r>
              <w:rPr>
                <w:rFonts w:ascii="Cambria Math" w:hAnsi="Cambria Math"/>
              </w:rPr>
              <m:t>-1</m:t>
            </m:r>
          </m:sub>
        </m:sSub>
      </m:oMath>
      <w:r>
        <w:t>) given the current word (w</w:t>
      </w:r>
      <m:oMath>
        <m:sSub>
          <m:sSubPr>
            <m:ctrlPr>
              <w:rPr>
                <w:rFonts w:ascii="Cambria Math" w:hAnsi="Cambria Math"/>
              </w:rPr>
            </m:ctrlPr>
          </m:sSubPr>
          <m:e>
            <m:r>
              <w:rPr>
                <w:rFonts w:ascii="Cambria Math" w:hAnsi="Cambria Math"/>
              </w:rPr>
              <m:t>​</m:t>
            </m:r>
          </m:e>
          <m:sub>
            <m:r>
              <w:rPr>
                <w:rFonts w:ascii="Cambria Math" w:hAnsi="Cambria Math"/>
              </w:rPr>
              <m:t>0</m:t>
            </m:r>
          </m:sub>
        </m:sSub>
      </m:oMath>
      <w:r>
        <w:t>). It can be estimated for each word in a sentence in order to reveal peaks and dips in transitional likelihood, which reflect places where words are likely (peaks) or unlikely (dips) to co-occur</w:t>
      </w:r>
      <w:r>
        <w:rPr>
          <w:b/>
        </w:rPr>
        <w:t>.</w:t>
      </w:r>
      <w:r>
        <w:t xml:space="preserve"> The CBL divides utterances into chunks, splitting the utterances whenever the BTP between two words drops below the running average BTP. In the example in </w:t>
      </w:r>
      <w:hyperlink w:anchor="fig1">
        <w:r>
          <w:rPr>
            <w:rStyle w:val="Hyperlink"/>
          </w:rPr>
          <w:t>Figure 1</w:t>
        </w:r>
      </w:hyperlink>
      <w:r>
        <w:t>, the CBL might decide to split the sentence (“did you look at the doggy”) into three chunks ‘did you’, ‘look at’, and ‘the doggy’, and store all three in its memory. As it sees more sentences, it would continue to add new chunks and track how often they co-occurred. Once stored in memory, the chunks are not forgotten</w:t>
      </w:r>
      <w:r>
        <w:rPr>
          <w:b/>
        </w:rPr>
        <w:t>.</w:t>
      </w:r>
      <w:r>
        <w:t xml:space="preserve"> The CBL was developed to model children’s early speech production and comprehension without appealing to abstract grammatical </w:t>
      </w:r>
      <w:r>
        <w:lastRenderedPageBreak/>
        <w:t>categories. Specifically, it was designed as an implementation of the hypothesis that children detect and store multi-word chunks using BTP, and also use the stored chunks to parse speech and produce new utterances (see also Arnon and Snider (2010) and Bannard and Matthews (2008)). The model’s ability to simulate learning can be measured by first training it on what children hear and then having the model reproduce what children say from the chunks that it learned.</w:t>
      </w:r>
    </w:p>
    <w:p w:rsidR="00162A6B" w:rsidRDefault="00137C55" w:rsidP="009535DE">
      <w:pPr>
        <w:pStyle w:val="CaptionedFigure"/>
        <w:jc w:val="center"/>
      </w:pPr>
      <w:r>
        <w:rPr>
          <w:noProof/>
        </w:rPr>
        <w:drawing>
          <wp:inline distT="0" distB="0" distL="0" distR="0">
            <wp:extent cx="3594538" cy="1035343"/>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7"/>
                    <a:stretch>
                      <a:fillRect/>
                    </a:stretch>
                  </pic:blipFill>
                  <pic:spPr bwMode="auto">
                    <a:xfrm>
                      <a:off x="0" y="0"/>
                      <a:ext cx="3604713" cy="1038274"/>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1.  </w:t>
      </w:r>
      <w:r>
        <w:t xml:space="preserve"> Example of a sentence with BTP between consecutive words. Chunks are split at points of low BTP (indicated by the vertical lines). “#” denotes a start-of-utterance marker.</w:t>
      </w:r>
    </w:p>
    <w:p w:rsidR="00162A6B" w:rsidRDefault="00137C55">
      <w:pPr>
        <w:pStyle w:val="Heading3"/>
        <w:framePr w:wrap="around"/>
      </w:pPr>
      <w:bookmarkStart w:id="3" w:name="testing-for-change-with-age"/>
      <w:r>
        <w:t>Testing for change with age.</w:t>
      </w:r>
      <w:bookmarkEnd w:id="3"/>
    </w:p>
    <w:p w:rsidR="00AD0644" w:rsidRDefault="00AD0644">
      <w:pPr>
        <w:pStyle w:val="FirstParagraph"/>
      </w:pPr>
    </w:p>
    <w:p w:rsidR="00162A6B" w:rsidRDefault="00137C55">
      <w:pPr>
        <w:pStyle w:val="FirstParagraph"/>
      </w:pPr>
      <w:r>
        <w:t>Following McCauley and colleagues (2011, 2014a, 2019b)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rsidR="00162A6B" w:rsidRDefault="00137C55" w:rsidP="00AD0644">
      <w:pPr>
        <w:pStyle w:val="Compact"/>
        <w:numPr>
          <w:ilvl w:val="0"/>
          <w:numId w:val="18"/>
        </w:numPr>
        <w:spacing w:line="480" w:lineRule="auto"/>
      </w:pPr>
      <w:r>
        <w:t>“Uncorrected”: The binary (success/fail) reconstruction score originally used by McCauley and colleagues (2011, 2014a, 2019b).</w:t>
      </w:r>
    </w:p>
    <w:p w:rsidR="00162A6B" w:rsidRDefault="00137C55" w:rsidP="00AD0644">
      <w:pPr>
        <w:pStyle w:val="Compact"/>
        <w:numPr>
          <w:ilvl w:val="0"/>
          <w:numId w:val="18"/>
        </w:numPr>
        <w:spacing w:line="480" w:lineRule="auto"/>
      </w:pPr>
      <w:r>
        <w:t xml:space="preserve">“Corrected”: A length-and-repetition-controlled reconstruction score that accounts for the fact that longer utterances have more opportunities for error reconstruction, and for the fact </w:t>
      </w:r>
      <w:r>
        <w:lastRenderedPageBreak/>
        <w:t>that some child utterances contain repetitions of chunks, making multiple reconstructions match the original utterance.</w:t>
      </w:r>
    </w:p>
    <w:p w:rsidR="00162A6B" w:rsidRDefault="00137C55">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(“uncorrected”) reconstruction score and a new (“corrected”)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w:t>
      </w:r>
      <w:r w:rsidRPr="0041748A">
        <w:rPr>
          <w:color w:val="F79646" w:themeColor="accent6"/>
        </w:rPr>
        <w:t>mechanism</w:t>
      </w:r>
      <w:r w:rsidRPr="0041748A">
        <w:rPr>
          <w:b/>
          <w:color w:val="F79646" w:themeColor="accent6"/>
        </w:rPr>
        <w:t>’s utility for speech production</w:t>
      </w:r>
      <w:r>
        <w:t>, in fact, changes with age (Bannard et al., 2009; Tomasello, 2005; Yang, 2016).</w:t>
      </w:r>
    </w:p>
    <w:p w:rsidR="00162A6B" w:rsidRDefault="00137C55">
      <w:pPr>
        <w:pStyle w:val="Heading2"/>
      </w:pPr>
      <w:bookmarkStart w:id="4" w:name="predictions"/>
      <w:r>
        <w:t>Predictions</w:t>
      </w:r>
      <w:bookmarkEnd w:id="4"/>
    </w:p>
    <w:p w:rsidR="00162A6B" w:rsidRDefault="00137C55">
      <w:pPr>
        <w:pStyle w:val="FirstParagraph"/>
      </w:pPr>
      <w:r>
        <w:t xml:space="preserve">With these previous findings as a starting point, we investigated whether the CBL could </w:t>
      </w:r>
      <w:r w:rsidRPr="0041748A">
        <w:rPr>
          <w:b/>
          <w:color w:val="F79646" w:themeColor="accent6"/>
        </w:rPr>
        <w:t>reconstruct children’s utterances</w:t>
      </w:r>
      <w:r>
        <w:t xml:space="preserve"> with equal precision over the first four years of life. Taking for granted that children </w:t>
      </w:r>
      <w:r>
        <w:rPr>
          <w:i/>
        </w:rPr>
        <w:t>eventually</w:t>
      </w:r>
      <w:r>
        <w:t xml:space="preserve"> develop abstract representations (as in, e.g., Tomasello, 2008; Yang, 2016), we predicted that:</w:t>
      </w:r>
    </w:p>
    <w:p w:rsidR="00162A6B" w:rsidRDefault="00137C55" w:rsidP="0041748A">
      <w:pPr>
        <w:pStyle w:val="Compact"/>
        <w:numPr>
          <w:ilvl w:val="0"/>
          <w:numId w:val="19"/>
        </w:numPr>
        <w:spacing w:line="480" w:lineRule="auto"/>
      </w:pPr>
      <w:r>
        <w:t>The CBL would less accurately generate children’s speech productions as they grew older; given the assumption that children gradually learn to abstract over the specific “chunks” 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rsidR="00162A6B" w:rsidRDefault="00137C55" w:rsidP="0041748A">
      <w:pPr>
        <w:pStyle w:val="Compact"/>
        <w:numPr>
          <w:ilvl w:val="0"/>
          <w:numId w:val="19"/>
        </w:numPr>
        <w:spacing w:line="480" w:lineRule="auto"/>
      </w:pPr>
      <w:r>
        <w:lastRenderedPageBreak/>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Roy, Frank, &amp; Roy, 2009).</w:t>
      </w:r>
    </w:p>
    <w:p w:rsidR="00162A6B" w:rsidRDefault="00137C55" w:rsidP="0041748A">
      <w:pPr>
        <w:pStyle w:val="Compact"/>
        <w:numPr>
          <w:ilvl w:val="0"/>
          <w:numId w:val="19"/>
        </w:numPr>
        <w:spacing w:line="480" w:lineRule="auto"/>
      </w:pPr>
      <w: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rsidR="00162A6B" w:rsidRDefault="00137C55">
      <w:pPr>
        <w:pStyle w:val="FirstParagraph"/>
      </w:pPr>
      <w: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rsidR="00162A6B" w:rsidRDefault="00137C55">
      <w:pPr>
        <w:pStyle w:val="Heading1"/>
      </w:pPr>
      <w:bookmarkStart w:id="5" w:name="methods"/>
      <w:r>
        <w:t>Methods</w:t>
      </w:r>
      <w:bookmarkEnd w:id="5"/>
    </w:p>
    <w:p w:rsidR="00162A6B" w:rsidRDefault="00137C55">
      <w:pPr>
        <w:pStyle w:val="Heading2"/>
      </w:pPr>
      <w:bookmarkStart w:id="6" w:name="model"/>
      <w:r>
        <w:t>Model</w:t>
      </w:r>
      <w:bookmarkEnd w:id="6"/>
    </w:p>
    <w:p w:rsidR="00162A6B" w:rsidRDefault="00137C55">
      <w:pPr>
        <w:pStyle w:val="FirstParagraph"/>
      </w:pPr>
      <w:r>
        <w:t>The CBL model (McCauley &amp; Christiansen, 2011) is an incremental computational model of language acquisition, that explores the possibility that infants and children parse their input into (multi-word) chunks during the process of acquiring language.</w:t>
      </w:r>
    </w:p>
    <w:p w:rsidR="00162A6B" w:rsidRDefault="00137C55">
      <w:pPr>
        <w:pStyle w:val="BodyText"/>
      </w:pPr>
      <w:r>
        <w:lastRenderedPageBreak/>
        <w:t>The model takes transcribed speech as input and divides the transcribed utterances into multi-word chunks. Each utterance begins with a start cue (denoted “#”).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 “I see the puppy” and “did you look at the puppy?” into five different chunks, namely “I”, “see”, “the puppy”, “did you”, and “look at” based on the BTPs between these words compared to the average BTP found in the corpus so far.</w:t>
      </w:r>
    </w:p>
    <w:p w:rsidR="00162A6B" w:rsidRDefault="00137C55">
      <w:pPr>
        <w:pStyle w:val="Heading2"/>
      </w:pPr>
      <w:bookmarkStart w:id="7" w:name="child-utterance-reconstruction-task"/>
      <w:r>
        <w:t>Child utterance reconstruction task</w:t>
      </w:r>
      <w:bookmarkEnd w:id="7"/>
    </w:p>
    <w:p w:rsidR="00162A6B" w:rsidRDefault="00137C55">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w:t>
      </w:r>
      <w:r w:rsidRPr="0041748A">
        <w:rPr>
          <w:b/>
          <w:color w:val="F79646" w:themeColor="accent6"/>
        </w:rPr>
        <w:t>We follow McCauley and Christiansen’s (2011)</w:t>
      </w:r>
      <w:r>
        <w:t xml:space="preserve"> utterance reconstruction task to test whether the chunk statistics present in the adults’ utterances are also present in the child’s utterances. The model reconstructs the child utterances from the chunks and their related BTPs from the adult’s utterances at the same age point. </w:t>
      </w:r>
      <w:r w:rsidRPr="0041748A">
        <w:rPr>
          <w:b/>
          <w:color w:val="F79646" w:themeColor="accent6"/>
        </w:rPr>
        <w:t>Our</w:t>
      </w:r>
      <w:r>
        <w:t xml:space="preserve"> reconstruction process, which is slightly different from McCauley and Christiansen’s (2011) process, is done in two steps (see </w:t>
      </w:r>
      <w:hyperlink w:anchor="fig2">
        <w:r>
          <w:rPr>
            <w:rStyle w:val="Hyperlink"/>
          </w:rPr>
          <w:t>Figure 2</w:t>
        </w:r>
      </w:hyperlink>
      <w:r>
        <w:t xml:space="preserve">). First, a child utterance is converted into an unordered bag-of-chunks containing the set of largest possible chunks that had already been seen in the adults’ speech, in line with the bag-of-words approach proposed in Chang, Lieven, and Tomasello (2008). Whenever the model encounters a word in the child utterance that is not </w:t>
      </w:r>
      <w:r>
        <w:lastRenderedPageBreak/>
        <w:t>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the child utterance “look at the puppy” would be broken down into a set of known chunks which were discovered in the adults’ speech (e.g., “look at” and “the puppy”, as in the step 2 speech bubble). If the utterance were “look at the poodle”, and the model had not already added a chunk for the word “poodle” during training, then the word is unknown to the model and the utterance cannot be reconstructed</w:t>
      </w:r>
      <w:r>
        <w:rPr>
          <w:b/>
        </w:rPr>
        <w:t>. T</w:t>
      </w:r>
      <w:r>
        <w:t xml:space="preserve">herefore the utterance would be rejected from further processing. However, in the case that the utterance </w:t>
      </w:r>
      <w:r>
        <w:rPr>
          <w:i/>
        </w:rPr>
        <w:t>can</w:t>
      </w:r>
      <w:r>
        <w:t xml:space="preserve"> be broken down into known chunks, the model then tries to reconstruct the utterance by shuffling the chunks detected and reordering them based on their known </w:t>
      </w:r>
      <w:r w:rsidRPr="0041748A">
        <w:rPr>
          <w:b/>
          <w:color w:val="F79646" w:themeColor="accent6"/>
        </w:rPr>
        <w:t>BTPs</w:t>
      </w:r>
      <w:r>
        <w:t xml:space="preserve">: the model begins with the utterance start cue and then finds the chunk that has the highest </w:t>
      </w:r>
      <w:r w:rsidRPr="0041748A">
        <w:rPr>
          <w:b/>
          <w:color w:val="F79646" w:themeColor="accent6"/>
        </w:rPr>
        <w:t>BTP</w:t>
      </w:r>
      <w:r>
        <w:t xml:space="preserve"> to the start cue, following that first chunk with the next one, which will be the remaining chunk with the highest backwards transitional probability to the first chunk, and again and again, until the set of chunks for that utterance is exhausted. So, the set of chunks “look at” and “the puppy” would be ordered depending on the chunk that maximizes the BTP of the start cue (i.e., “look at”), followed by the chunk that maximizes the BTP of “look at” (i.e., “the puppy”).</w:t>
      </w:r>
    </w:p>
    <w:p w:rsidR="00162A6B" w:rsidRDefault="00137C55">
      <w:pPr>
        <w:pStyle w:val="CaptionedFigure"/>
      </w:pPr>
      <w:r>
        <w:rPr>
          <w:noProof/>
        </w:rPr>
        <w:lastRenderedPageBreak/>
        <w:drawing>
          <wp:inline distT="0" distB="0" distL="0" distR="0">
            <wp:extent cx="5969000" cy="2285042"/>
            <wp:effectExtent l="0" t="0" r="0" b="0"/>
            <wp:docPr id="2" name="Picture"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8"/>
                    <a:stretch>
                      <a:fillRect/>
                    </a:stretch>
                  </pic:blipFill>
                  <pic:spPr bwMode="auto">
                    <a:xfrm>
                      <a:off x="0" y="0"/>
                      <a:ext cx="5969000" cy="2285042"/>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2.  </w:t>
      </w:r>
      <w:r>
        <w:t xml:space="preserve"> Example of reconstruction attempts for three child utterances. The model tries to reconstruct the first two utterances using </w:t>
      </w:r>
      <w:r w:rsidRPr="0041748A">
        <w:rPr>
          <w:b/>
          <w:color w:val="F79646" w:themeColor="accent6"/>
        </w:rPr>
        <w:t>BTPs</w:t>
      </w:r>
      <w:r>
        <w:t xml:space="preserve"> of the chunks it finds, but it cannot do so with the third utterance, which contains a word (“poodle”) that had not been previously seen during training.</w:t>
      </w:r>
    </w:p>
    <w:p w:rsidR="00162A6B" w:rsidRDefault="00137C55">
      <w:pPr>
        <w:pStyle w:val="Heading2"/>
      </w:pPr>
      <w:bookmarkStart w:id="8" w:name="materials-and-procedure"/>
      <w:r>
        <w:t>Materials and Procedure</w:t>
      </w:r>
      <w:bookmarkEnd w:id="8"/>
    </w:p>
    <w:p w:rsidR="00162A6B" w:rsidRDefault="00137C55">
      <w:pPr>
        <w:pStyle w:val="FirstParagraph"/>
      </w:pPr>
      <w:r>
        <w:t>As input to the model we used transcripts of 1–2-hour recordings of at-home interaction between six North American children and their caregivers who were recorded approximately every two weeks between ages 1;0 and 4;0 (the Providence corpus; Demuth, Culbertson, and Alter (2006)). We pre-processed the transcripts, which were formatted using CHAT conventions (MacWhinney, 2000), such that the input to the model only contained plain text orthographic transcriptions of what was said.</w:t>
      </w:r>
      <w:r>
        <w:rPr>
          <w:rStyle w:val="FootnoteReference"/>
        </w:rPr>
        <w:footnoteReference w:id="2"/>
      </w:r>
      <w:r>
        <w:t xml:space="preserve"> We split the transcripts into two separate files, one with all the </w:t>
      </w:r>
      <w:r>
        <w:lastRenderedPageBreak/>
        <w:t>caregivers’ utterances and one with all the child’s utterances. Our pre-processing also added a “#” prefix to the start of each utterance.</w:t>
      </w:r>
    </w:p>
    <w:p w:rsidR="00162A6B" w:rsidRDefault="00137C55">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 the result is a test of how closely their current speech environment can </w:t>
      </w:r>
      <w:r w:rsidRPr="0041748A">
        <w:rPr>
          <w:b/>
          <w:color w:val="F79646" w:themeColor="accent6"/>
        </w:rPr>
        <w:t>help reconstruct</w:t>
      </w:r>
      <w:r>
        <w:t xml:space="preserve"> what they say. We sample </w:t>
      </w:r>
      <w:r>
        <w:rPr>
          <w:i/>
        </w:rPr>
        <w:t>around</w:t>
      </w:r>
      <w:r>
        <w:t xml:space="preserve"> target age points and not </w:t>
      </w:r>
      <w:r>
        <w:rPr>
          <w:i/>
        </w:rPr>
        <w:t>up-until</w:t>
      </w:r>
      <w: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rsidR="00162A6B" w:rsidRDefault="00137C55">
      <w:pPr>
        <w:pStyle w:val="BodyText"/>
      </w:pPr>
      <w:r>
        <w:t xml:space="preserve">In contrast, the cumulative sampling method focuses the model’s training on all previously heard linguistic input so that, when it tries to reconstruct children’s utterances, the result is a test of how closely their current </w:t>
      </w:r>
      <w:r>
        <w:rPr>
          <w:i/>
        </w:rPr>
        <w:t>and</w:t>
      </w:r>
      <w:r>
        <w:t xml:space="preserve"> previous speech environments can </w:t>
      </w:r>
      <w:r w:rsidRPr="0041748A">
        <w:rPr>
          <w:b/>
          <w:color w:val="F79646" w:themeColor="accent6"/>
        </w:rPr>
        <w:t>help reconstruct</w:t>
      </w:r>
      <w:r>
        <w:t xml:space="preserve">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t>
      </w:r>
      <w:r>
        <w:lastRenderedPageBreak/>
        <w:t>with child age. As a consequence, the cumulative sample always contained more caregiver utterances than the local sample, except at age 1;0, the first sampled age point.</w:t>
      </w:r>
    </w:p>
    <w:p w:rsidR="00162A6B" w:rsidRDefault="00137C55">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rsidR="00162A6B" w:rsidRDefault="00137C55">
      <w:pPr>
        <w:pStyle w:val="Heading2"/>
      </w:pPr>
      <w:bookmarkStart w:id="9" w:name="analysis"/>
      <w:r>
        <w:t>Analysis</w:t>
      </w:r>
      <w:bookmarkEnd w:id="9"/>
    </w:p>
    <w:p w:rsidR="00162A6B" w:rsidRDefault="00137C55">
      <w:pPr>
        <w:pStyle w:val="FirstParagraph"/>
      </w:pPr>
      <w:r>
        <w:t xml:space="preserve">We modeled two primary scores related to utterance reconstruction: the uncorrected (binary: success/fail) reconstruction score used by McCauley and colleagues (2011, 2014a, 2019b) and the corrected reconstruction score we introduce in the current paper. The uncorrected reconstruction score (1: success, 0: fail) was computed for all child utterances that could be decomposed into previously seen chunks (see steps 4 and 5 in </w:t>
      </w:r>
      <w:hyperlink w:anchor="fig2">
        <w:r>
          <w:rPr>
            <w:rStyle w:val="Hyperlink"/>
          </w:rPr>
          <w:t>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 </w:t>
      </w:r>
      <w:hyperlink w:anchor="fig2">
        <w:r>
          <w:rPr>
            <w:rStyle w:val="Hyperlink"/>
          </w:rPr>
          <w:t>Figure 2</w:t>
        </w:r>
      </w:hyperlink>
      <w:r>
        <w:t>).</w:t>
      </w:r>
    </w:p>
    <w:p w:rsidR="00162A6B" w:rsidRDefault="00137C55">
      <w:pPr>
        <w:pStyle w:val="BodyText"/>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w:t>
      </w:r>
      <w:r>
        <w:lastRenderedPageBreak/>
        <w:t>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rsidR="00162A6B" w:rsidRDefault="00137C55">
      <w:pPr>
        <w:pStyle w:val="BodyText"/>
      </w:pPr>
      <w:r>
        <w:t xml:space="preserve">All analyses were conducted using the </w:t>
      </w:r>
      <w:r>
        <w:rPr>
          <w:rStyle w:val="VerbatimChar"/>
        </w:rPr>
        <w:t>lme4</w:t>
      </w:r>
      <w:r>
        <w:t xml:space="preserve"> package (Bates, Mächler, Bolker, &amp; Walker, 2015) and all figures </w:t>
      </w:r>
      <w:r w:rsidRPr="0041748A">
        <w:rPr>
          <w:b/>
          <w:color w:val="F79646" w:themeColor="accent6"/>
        </w:rPr>
        <w:t>of the findings</w:t>
      </w:r>
      <w:r>
        <w:t xml:space="preserve"> were generated with the </w:t>
      </w:r>
      <w:r>
        <w:rPr>
          <w:rStyle w:val="VerbatimChar"/>
        </w:rPr>
        <w:t>ggplot2</w:t>
      </w:r>
      <w:r>
        <w:t xml:space="preserve"> package in </w:t>
      </w:r>
      <w:r>
        <w:rPr>
          <w:rStyle w:val="VerbatimChar"/>
        </w:rPr>
        <w:t>R</w:t>
      </w:r>
      <w:r>
        <w:t xml:space="preserve"> (R Core Team, 2014; Wickham, 2009). All code used to create the model and analyze its output is available at </w:t>
      </w:r>
      <w:hyperlink>
        <w:r>
          <w:rPr>
            <w:rStyle w:val="Hyperlink"/>
          </w:rPr>
          <w:t>https://github.com/marisacasillas/CBL-Roete</w:t>
        </w:r>
      </w:hyperlink>
      <w:r>
        <w:t>. Full tables of statistical model output are available in the Supplementary Materials. Before turning to the main results we briefly describe the corrected reconstruction score and the analysis of previously unseen words in more detail.</w:t>
      </w:r>
    </w:p>
    <w:p w:rsidR="00162A6B" w:rsidRDefault="00137C55">
      <w:pPr>
        <w:pStyle w:val="Heading2"/>
      </w:pPr>
      <w:bookmarkStart w:id="10" w:name="corrected-reconstruction-accuracy"/>
      <w:r>
        <w:t>Corrected reconstruction accuracy</w:t>
      </w:r>
      <w:bookmarkEnd w:id="10"/>
    </w:p>
    <w:p w:rsidR="00162A6B" w:rsidRDefault="00137C55">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“I wanna” and “I wanna”, it does not matter which of the two “I wanna” chunks is placed first when calculating the reconstruction accuracy of the utterance. Thus, utterances containing duplicate chunks are more likely to be reconstructed by </w:t>
      </w:r>
      <w:r>
        <w:lastRenderedPageBreak/>
        <w:t xml:space="preserve">chance alone than utterances with the same number of chunks but no duplicates. Note that here we are detecting duplicate </w:t>
      </w:r>
      <w:r>
        <w:rPr>
          <w:i/>
        </w:rPr>
        <w:t>chunks</w:t>
      </w:r>
      <w:r>
        <w:t xml:space="preserve"> in the utterance rather than duplicate </w:t>
      </w:r>
      <w:r>
        <w:rPr>
          <w:i/>
        </w:rPr>
        <w:t>words</w:t>
      </w:r>
      <w:r>
        <w:t>. At this post-training stage, the model is only able to parse the utterance into chunks; that is the relevant unit over which duplication may affect reconstruction accuracy.</w:t>
      </w:r>
    </w:p>
    <w:p w:rsidR="00162A6B" w:rsidRDefault="00137C55">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oMath>
      <w:r>
        <w:t xml:space="preserve"> different orders. Hence, the baseline probability of obtaining the correct order of </w:t>
      </w:r>
      <m:oMath>
        <m:r>
          <w:rPr>
            <w:rFonts w:ascii="Cambria Math" w:hAnsi="Cambria Math"/>
          </w:rPr>
          <m:t>N</m:t>
        </m:r>
      </m:oMath>
      <w:r>
        <w:t xml:space="preserve"> unique chunks equals </w:t>
      </w:r>
      <m:oMath>
        <m:r>
          <w:rPr>
            <w:rFonts w:ascii="Cambria Math" w:hAnsi="Cambria Math"/>
          </w:rPr>
          <m:t>1/N!</m:t>
        </m:r>
      </m:oMath>
      <w:r>
        <w:t xml:space="preserve">. When we take into account that chunks can be repeated within an utterance, chance level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!)/N!</m:t>
        </m:r>
      </m:oMath>
      <w:r>
        <w:t xml:space="preserve">, where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 (</w:t>
      </w:r>
      <w:hyperlink w:anchor="fig3">
        <w:r>
          <w:rPr>
            <w:rStyle w:val="Hyperlink"/>
          </w:rPr>
          <w:t>Figure 3</w:t>
        </w:r>
      </w:hyperlink>
      <w:r>
        <w:t>).</w:t>
      </w:r>
    </w:p>
    <w:p w:rsidR="00162A6B" w:rsidRDefault="002140A2">
      <w:pPr>
        <w:pStyle w:val="CaptionedFigure"/>
      </w:pPr>
      <w:r>
        <w:rPr>
          <w:noProof/>
        </w:rPr>
        <w:drawing>
          <wp:inline distT="0" distB="0" distL="0" distR="0">
            <wp:extent cx="5972810" cy="2756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3.  </w:t>
      </w:r>
      <w:r>
        <w:t xml:space="preserve">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rsidR="00162A6B" w:rsidRDefault="00137C55">
      <w:pPr>
        <w:pStyle w:val="BodyText"/>
      </w:pPr>
      <w:r>
        <w:lastRenderedPageBreak/>
        <w:t xml:space="preserve">When probability of reconstruction was lower, we scored a correctly reconstructed utterance higher. We assigned a score of </w:t>
      </w:r>
      <m:oMath>
        <m:r>
          <w:rPr>
            <w:rFonts w:ascii="Cambria Math" w:hAnsi="Cambria Math"/>
          </w:rPr>
          <m:t>-</m:t>
        </m:r>
        <m:r>
          <m:rPr>
            <m:nor/>
          </m:rPr>
          <m:t>log</m:t>
        </m:r>
        <m:r>
          <w:rPr>
            <w:rFonts w:ascii="Cambria Math" w:hAnsi="Cambria Math"/>
          </w:rPr>
          <m:t>(chance)</m:t>
        </m:r>
      </m:oMath>
      <w:r>
        <w:t xml:space="preserve"> for each correct reconstruction and </w:t>
      </w:r>
      <m:oMath>
        <m:r>
          <m:rPr>
            <m:nor/>
          </m:rPr>
          <m:t>log</m:t>
        </m:r>
        <m:r>
          <w:rPr>
            <w:rFonts w:ascii="Cambria Math" w:hAnsi="Cambria Math"/>
          </w:rPr>
          <m:t>(1-chance)</m:t>
        </m:r>
      </m:oMath>
      <w:r>
        <w:t xml:space="preserve"> for each incorrectly reconstructed utterance. In </w:t>
      </w:r>
      <w:r>
        <w:rPr>
          <w:b/>
        </w:rPr>
        <w:t>layperson</w:t>
      </w:r>
      <w:r>
        <w:t>’s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rsidR="00162A6B" w:rsidRDefault="00137C55">
      <w:pPr>
        <w:pStyle w:val="BodyText"/>
      </w:pPr>
      <w:r>
        <w:t xml:space="preserve">To illustrate the corrected scoring method, let’s compare two three-chunk utterances, one of which contains a duplicate chunk: “I wanna I wanna see” (chunks: “I wanna”, “I wanna”, “see”) and “I wanna see that” (chunks: “I wanna”, “see”, “that”). For the first utterance, chance level equals </w:t>
      </w:r>
      <m:oMath>
        <m:r>
          <w:rPr>
            <w:rFonts w:ascii="Cambria Math" w:hAnsi="Cambria Math"/>
          </w:rPr>
          <m:t>(2!×1!)/(3!)</m:t>
        </m:r>
      </m:oMath>
      <w:r>
        <w:t xml:space="preserve">: The numerator is determined by the number of times each unique chunk is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nor/>
          </m:rPr>
          <m:t>log</m:t>
        </m:r>
        <m:r>
          <w:rPr>
            <w:rFonts w:ascii="Cambria Math" w:hAnsi="Cambria Math"/>
          </w:rPr>
          <m:t>(chance)</m:t>
        </m:r>
      </m:oMath>
      <w:r>
        <w:t xml:space="preserve">. So, the first utterance would get a positive score of </w:t>
      </w:r>
      <m:oMath>
        <m:r>
          <w:rPr>
            <w:rFonts w:ascii="Cambria Math" w:hAnsi="Cambria Math"/>
          </w:rPr>
          <m:t>-</m:t>
        </m:r>
        <m:r>
          <m:rPr>
            <m:nor/>
          </m:rPr>
          <m:t>log</m:t>
        </m:r>
        <m:r>
          <w:rPr>
            <w:rFonts w:ascii="Cambria Math" w:hAnsi="Cambria Math"/>
          </w:rPr>
          <m:t>(chance)=-</m:t>
        </m:r>
        <m:r>
          <m:rPr>
            <m:nor/>
          </m:rPr>
          <m:t>log</m:t>
        </m:r>
        <m:r>
          <w:rPr>
            <w:rFonts w:ascii="Cambria Math" w:hAnsi="Cambria Math"/>
          </w:rPr>
          <m:t>(2/6)≈1.098</m:t>
        </m:r>
      </m:oMath>
      <w:r>
        <w:t xml:space="preserve"> and the second utterance would get a higher positive score of </w:t>
      </w:r>
      <m:oMath>
        <m:r>
          <w:rPr>
            <w:rFonts w:ascii="Cambria Math" w:hAnsi="Cambria Math"/>
          </w:rPr>
          <m:t>-</m:t>
        </m:r>
        <m:r>
          <m:rPr>
            <m:nor/>
          </m:rPr>
          <m:t>log</m:t>
        </m:r>
        <m:r>
          <w:rPr>
            <w:rFonts w:ascii="Cambria Math" w:hAnsi="Cambria Math"/>
          </w:rPr>
          <m:t>(chance)=-</m:t>
        </m:r>
        <m:r>
          <m:rPr>
            <m:nor/>
          </m:rPr>
          <m:t>log</m:t>
        </m:r>
        <m:r>
          <w:rPr>
            <w:rFonts w:ascii="Cambria Math" w:hAnsi="Cambria Math"/>
          </w:rPr>
          <m:t>(1/6)≈1.791</m:t>
        </m:r>
      </m:oMath>
      <w:r>
        <w:t xml:space="preserve"> for increased reconstruction difficulty. If the utterances are reconstructed incorrectly, the score is computed by </w:t>
      </w:r>
      <m:oMath>
        <m:r>
          <m:rPr>
            <m:nor/>
          </m:rPr>
          <m:t>log</m:t>
        </m:r>
        <m:r>
          <w:rPr>
            <w:rFonts w:ascii="Cambria Math" w:hAnsi="Cambria Math"/>
          </w:rPr>
          <m:t>(1-</m:t>
        </m:r>
        <m:r>
          <w:rPr>
            <w:rFonts w:ascii="Cambria Math" w:hAnsi="Cambria Math"/>
          </w:rPr>
          <w:lastRenderedPageBreak/>
          <m:t>chance)</m:t>
        </m:r>
      </m:oMath>
      <w:r>
        <w:t xml:space="preserve">. Thus, the first utterance would get a negative score of </w:t>
      </w:r>
      <m:oMath>
        <m:r>
          <m:rPr>
            <m:nor/>
          </m:rPr>
          <m:t>log</m:t>
        </m:r>
        <m:r>
          <w:rPr>
            <w:rFonts w:ascii="Cambria Math" w:hAnsi="Cambria Math"/>
          </w:rPr>
          <m:t>(1-chance)=</m:t>
        </m:r>
        <m:r>
          <m:rPr>
            <m:nor/>
          </m:rPr>
          <m:t>log</m:t>
        </m:r>
        <m:r>
          <w:rPr>
            <w:rFonts w:ascii="Cambria Math" w:hAnsi="Cambria Math"/>
          </w:rPr>
          <m:t>(1-(2/6))≈-0.405</m:t>
        </m:r>
      </m:oMath>
      <w:r>
        <w:t xml:space="preserve"> and the second utterance would get a less negative score of </w:t>
      </w:r>
      <m:oMath>
        <m:r>
          <m:rPr>
            <m:nor/>
          </m:rPr>
          <m:t>log</m:t>
        </m:r>
        <m:r>
          <w:rPr>
            <w:rFonts w:ascii="Cambria Math" w:hAnsi="Cambria Math"/>
          </w:rPr>
          <m:t>(1-chance)=</m:t>
        </m:r>
        <m:r>
          <m:rPr>
            <m:nor/>
          </m:rPr>
          <m:t>log</m:t>
        </m:r>
        <m:r>
          <w:rPr>
            <w:rFonts w:ascii="Cambria Math" w:hAnsi="Cambria Math"/>
          </w:rPr>
          <m:t>(1-(1/6))≈-0.182</m:t>
        </m:r>
      </m:oMath>
      <w:r>
        <w:t>.</w:t>
      </w:r>
    </w:p>
    <w:p w:rsidR="00162A6B" w:rsidRDefault="00137C55">
      <w:pPr>
        <w:pStyle w:val="Heading2"/>
      </w:pPr>
      <w:bookmarkStart w:id="11" w:name="previously-unseen-words"/>
      <w:r>
        <w:t>Previously unseen words</w:t>
      </w:r>
      <w:bookmarkEnd w:id="11"/>
    </w:p>
    <w:p w:rsidR="00162A6B" w:rsidRDefault="00137C55">
      <w:pPr>
        <w:pStyle w:val="FirstParagraph"/>
      </w:pPr>
      <w:r>
        <w:t>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rsidR="00162A6B" w:rsidRDefault="00137C55">
      <w:pPr>
        <w:pStyle w:val="Heading1"/>
      </w:pPr>
      <w:bookmarkStart w:id="12" w:name="results"/>
      <w:r>
        <w:t>Results</w:t>
      </w:r>
      <w:bookmarkEnd w:id="12"/>
    </w:p>
    <w:p w:rsidR="00162A6B" w:rsidRDefault="00137C55">
      <w:pPr>
        <w:pStyle w:val="Heading2"/>
      </w:pPr>
      <w:bookmarkStart w:id="13" w:name="uncorrected-reconstruction-accuracy"/>
      <w:r>
        <w:t>Uncorrected reconstruction accuracy</w:t>
      </w:r>
      <w:bookmarkEnd w:id="13"/>
    </w:p>
    <w:p w:rsidR="00162A6B" w:rsidRDefault="00137C55">
      <w:pPr>
        <w:pStyle w:val="FirstParagraph"/>
      </w:pPr>
      <w:r>
        <w:t>The uncorrected score of accurate utterance reconstruction (McCauley &amp; Christiansen, 2011, 2014a) 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(2019b) reported an average reconstruction percentage of 55.3% for 160 single-child corpora of 29 typologically different languages, including a performance of 58.5% for 43 English single-child corpora with a mean age range of 1;11–3;10.</w:t>
      </w:r>
    </w:p>
    <w:p w:rsidR="00162A6B" w:rsidRDefault="00137C55">
      <w:pPr>
        <w:pStyle w:val="BodyText"/>
      </w:pPr>
      <w:r>
        <w:lastRenderedPageBreak/>
        <w:t>In our statistical models of the uncorrected reconstruction accuracy</w:t>
      </w:r>
      <w:r>
        <w:rPr>
          <w:rStyle w:val="FootnoteReference"/>
        </w:rPr>
        <w:footnoteReference w:id="3"/>
      </w:r>
      <w:r>
        <w:t>, we first analyzed the CBL model’s performance when it was trained on locally sampled caregiver speech. The number of correctly reconstructed utterances decreased with age (</w:t>
      </w:r>
      <m:oMath>
        <m:r>
          <w:rPr>
            <w:rFonts w:ascii="Cambria Math" w:hAnsi="Cambria Math"/>
          </w:rPr>
          <m:t>b=-0.805,SE=0.180,p&lt;0.001</m:t>
        </m:r>
      </m:oMath>
      <w:r>
        <w:t>); over time the BTP statistics present in the caregivers’ speech were less reflected in the child’s own speech (</w:t>
      </w:r>
      <w:hyperlink w:anchor="fig4">
        <w:r>
          <w:rPr>
            <w:rStyle w:val="Hyperlink"/>
          </w:rPr>
          <w:t>Figure 4, left panel</w:t>
        </w:r>
      </w:hyperlink>
      <w:r>
        <w:t>); as we shall see, this decrease is related to the uncorrected reconstruction score.</w:t>
      </w:r>
    </w:p>
    <w:p w:rsidR="00162A6B" w:rsidRDefault="00137C55">
      <w:pPr>
        <w:pStyle w:val="BodyText"/>
      </w:pPr>
      <w:r>
        <w:t>We then tested the model’s performance when it was trained with a cumulative sample of caregiver speech, rather than just a local sample. As before, the number of correctly reconstructed utterances decreased with child age (</w:t>
      </w:r>
      <m:oMath>
        <m:r>
          <w:rPr>
            <w:rFonts w:ascii="Cambria Math" w:hAnsi="Cambria Math"/>
          </w:rPr>
          <m:t>b=-0.821,SE=0.146,p&lt;0.001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rsidR="00162A6B" w:rsidRDefault="00137C55">
      <w:pPr>
        <w:pStyle w:val="BodyText"/>
      </w:pPr>
      <w:r>
        <w:t xml:space="preserve">Importantly, however, the length of the child utterances varied quite a lot (range = 1–44 words long; mean = 2.8, median = 2), and some of them contained repetitions of chunks (e.g., “I wanna, I wanna”), both of which influence the baseline probability of accurate reconstruction. Utterances from older children tended to contain more words </w:t>
      </w:r>
      <w:r w:rsidRPr="0041748A">
        <w:rPr>
          <w:b/>
          <w:color w:val="F79646" w:themeColor="accent6"/>
        </w:rPr>
        <w:t>(and typically therefore more chunks)</w:t>
      </w:r>
      <w:r>
        <w:t xml:space="preserve">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Figure 5, right panel</w:t>
        </w:r>
      </w:hyperlink>
      <w:r>
        <w:t xml:space="preserve">). Utterances with duplicate chunks have a higher baseline probability of being </w:t>
      </w:r>
      <w:r>
        <w:lastRenderedPageBreak/>
        <w:t>accurately reconstructed by the model. So again, on average, utterances from older children were systematically more difficult, contributing to the age-related decrease in uncorrected reconstruction scores.</w:t>
      </w:r>
    </w:p>
    <w:p w:rsidR="00162A6B" w:rsidRDefault="009535DE">
      <w:pPr>
        <w:pStyle w:val="CaptionedFigure"/>
      </w:pPr>
      <w:r>
        <w:rPr>
          <w:noProof/>
        </w:rPr>
        <w:drawing>
          <wp:inline distT="0" distB="0" distL="0" distR="0">
            <wp:extent cx="5972810" cy="2756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4.  </w:t>
      </w:r>
      <w:r>
        <w:t xml:space="preserve"> Percentage of correctly reconstructed utterances across the age range, using local (left) and cumulative (right) sampling.</w:t>
      </w:r>
    </w:p>
    <w:p w:rsidR="00162A6B" w:rsidRDefault="009535DE">
      <w:pPr>
        <w:pStyle w:val="CaptionedFigure"/>
      </w:pPr>
      <w:r>
        <w:rPr>
          <w:noProof/>
        </w:rPr>
        <w:lastRenderedPageBreak/>
        <w:drawing>
          <wp:inline distT="0" distB="0" distL="0" distR="0">
            <wp:extent cx="5972810" cy="275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5.  </w:t>
      </w:r>
      <w:r>
        <w:t xml:space="preserve"> Children’s utterances increased in length (number of words) with age (left) while simultaneously decreasing in the number of duplicate chunks used (right).</w:t>
      </w:r>
    </w:p>
    <w:p w:rsidR="00162A6B" w:rsidRDefault="00137C55">
      <w:pPr>
        <w:pStyle w:val="Heading2"/>
      </w:pPr>
      <w:bookmarkStart w:id="14" w:name="corrected-reconstruction-accuracy-1"/>
      <w:r>
        <w:t>Corrected reconstruction accuracy</w:t>
      </w:r>
      <w:bookmarkEnd w:id="14"/>
    </w:p>
    <w:p w:rsidR="00162A6B" w:rsidRDefault="00137C55">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w:t>
      </w:r>
      <w:r>
        <w:lastRenderedPageBreak/>
        <w:t>the statistical models we centered child age on zero so that the estimation would reflect the difference from zero for the average age in our sample (2;6).</w:t>
      </w:r>
      <w:r>
        <w:rPr>
          <w:rStyle w:val="FootnoteReference"/>
        </w:rPr>
        <w:footnoteReference w:id="4"/>
      </w:r>
    </w:p>
    <w:p w:rsidR="00162A6B" w:rsidRDefault="00137C55">
      <w:pPr>
        <w:pStyle w:val="BodyText"/>
      </w:pPr>
      <w:r>
        <w:t>Again, we first analyzed the model’s performance when it was trained on locally sampled caregiver speech. We found a significant positive intercept (</w:t>
      </w:r>
      <m:oMath>
        <m:r>
          <w:rPr>
            <w:rFonts w:ascii="Cambria Math" w:hAnsi="Cambria Math"/>
          </w:rPr>
          <m:t>b=0.11,SE=0.02,t=5.064</m:t>
        </m:r>
      </m:oMath>
      <w:r>
        <w:t>) and no significant change across age (</w:t>
      </w:r>
      <m:oMath>
        <m:r>
          <w:rPr>
            <w:rFonts w:ascii="Cambria Math" w:hAnsi="Cambria Math"/>
          </w:rPr>
          <m:t>b=0.030,SE=0.018,t=1.681</m:t>
        </m:r>
      </m:oMath>
      <w:r>
        <w:t>); the BTP statistics from the caregivers’ speech were consistently reflected in the child’s own speech (</w:t>
      </w:r>
      <w:hyperlink w:anchor="fig6">
        <w:r>
          <w:rPr>
            <w:rStyle w:val="Hyperlink"/>
          </w:rPr>
          <w:t>Figure 6, left panel</w:t>
        </w:r>
      </w:hyperlink>
      <w:r>
        <w:t>).</w:t>
      </w:r>
    </w:p>
    <w:p w:rsidR="00162A6B" w:rsidRDefault="00137C55">
      <w:pPr>
        <w:pStyle w:val="BodyText"/>
      </w:pPr>
      <w:r>
        <w:t>As before, we created a parallel set of analyses to test the model’s performance when it was trained with a cumulative sample of caregiver speech. We again found a significant positive intercept (</w:t>
      </w:r>
      <m:oMath>
        <m:r>
          <w:rPr>
            <w:rFonts w:ascii="Cambria Math" w:hAnsi="Cambria Math"/>
          </w:rPr>
          <m:t>b=0.06,SE=0.010,t=6.238</m:t>
        </m:r>
      </m:oMath>
      <w:r>
        <w:t>) and that accuracy did not change significantly across age (</w:t>
      </w:r>
      <m:oMath>
        <m:r>
          <w:rPr>
            <w:rFonts w:ascii="Cambria Math" w:hAnsi="Cambria Math"/>
          </w:rPr>
          <m:t>b=0.02,SE=0.013,t=1.590</m:t>
        </m:r>
      </m:oMath>
      <w:r>
        <w:t xml:space="preserve">; </w:t>
      </w:r>
      <w:hyperlink w:anchor="fig6">
        <w:r>
          <w:rPr>
            <w:rStyle w:val="Hyperlink"/>
          </w:rPr>
          <w:t>Figure 6, right panel</w:t>
        </w:r>
      </w:hyperlink>
      <w:r>
        <w:t>).</w:t>
      </w:r>
    </w:p>
    <w:p w:rsidR="00162A6B" w:rsidRDefault="00137C55">
      <w:pPr>
        <w:pStyle w:val="BodyText"/>
      </w:pPr>
      <w:r>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rsidR="00162A6B" w:rsidRDefault="00610FDA">
      <w:pPr>
        <w:pStyle w:val="CaptionedFigure"/>
      </w:pPr>
      <w:r>
        <w:rPr>
          <w:noProof/>
        </w:rPr>
        <w:lastRenderedPageBreak/>
        <w:drawing>
          <wp:inline distT="0" distB="0" distL="0" distR="0">
            <wp:extent cx="5972810" cy="358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bookmarkStart w:id="15" w:name="_GoBack"/>
      <w:bookmarkEnd w:id="15"/>
    </w:p>
    <w:p w:rsidR="003C23B4" w:rsidRDefault="003C23B4" w:rsidP="003C23B4">
      <w:pPr>
        <w:pStyle w:val="ImageCaption"/>
      </w:pPr>
      <w:r>
        <w:rPr>
          <w:i/>
        </w:rPr>
        <w:t>Figure</w:t>
      </w:r>
      <w:r>
        <w:t xml:space="preserve"> </w:t>
      </w:r>
      <w:r>
        <w:rPr>
          <w:i/>
        </w:rPr>
        <w:t xml:space="preserve">6.  </w:t>
      </w:r>
      <w:r>
        <w:t xml:space="preserve"> Corrected reconstruction scores across the age range, using local (left) and cumulative (right) sampling. By-child scores are shown in the colored lines, with the mixed-effect model estimates (fit = line and confidence interval = band by age) shown in gray.</w:t>
      </w:r>
    </w:p>
    <w:p w:rsidR="00162A6B" w:rsidRDefault="009535DE">
      <w:pPr>
        <w:pStyle w:val="CaptionedFigure"/>
      </w:pPr>
      <w:r>
        <w:rPr>
          <w:noProof/>
        </w:rPr>
        <w:lastRenderedPageBreak/>
        <w:drawing>
          <wp:inline distT="0" distB="0" distL="0" distR="0">
            <wp:extent cx="5972810" cy="2756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7.  </w:t>
      </w:r>
      <w:r>
        <w:t xml:space="preserve"> Proportion of words in the local child utterances seen in the training data across age using local (left) and cumulative (right) sampling.</w:t>
      </w:r>
    </w:p>
    <w:p w:rsidR="00162A6B" w:rsidRDefault="00137C55">
      <w:pPr>
        <w:pStyle w:val="Heading2"/>
      </w:pPr>
      <w:bookmarkStart w:id="16" w:name="childrens-use-of-unseen-words"/>
      <w:r>
        <w:t>Children’s use of unseen words</w:t>
      </w:r>
      <w:bookmarkEnd w:id="16"/>
    </w:p>
    <w:p w:rsidR="00162A6B" w:rsidRDefault="00137C55">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 </w:t>
      </w:r>
      <w:r>
        <w:rPr>
          <w:i/>
        </w:rPr>
        <w:t>that</w:t>
      </w:r>
      <w:r>
        <w:t xml:space="preserve"> 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ootnoteReference"/>
        </w:rPr>
        <w:footnoteReference w:id="5"/>
      </w:r>
      <w:r>
        <w:t xml:space="preserve"> With local sampling, words in the children’s utterances were significantly </w:t>
      </w:r>
      <w:r>
        <w:lastRenderedPageBreak/>
        <w:t>less likely to have been previously seen as children got older (</w:t>
      </w:r>
      <m:oMath>
        <m:r>
          <w:rPr>
            <w:rFonts w:ascii="Cambria Math" w:hAnsi="Cambria Math"/>
          </w:rPr>
          <m:t>b=-0.549,SE=0.11,p&lt;0.001</m:t>
        </m:r>
      </m:oMath>
      <w:r>
        <w:t xml:space="preserve">; </w:t>
      </w:r>
      <w:hyperlink w:anchor="fig7">
        <w:r>
          <w:rPr>
            <w:rStyle w:val="Hyperlink"/>
          </w:rPr>
          <w:t>Figure 7, left panel</w:t>
        </w:r>
      </w:hyperlink>
      <w:r>
        <w:t>). With cumulative sampling, this effect was neutralized; increasing age was associated with a small and non-significant decrease in the likelihood of previously seen words (</w:t>
      </w:r>
      <m:oMath>
        <m:r>
          <w:rPr>
            <w:rFonts w:ascii="Cambria Math" w:hAnsi="Cambria Math"/>
          </w:rPr>
          <m:t>b=-0.022,SE=0.121,p=0.857</m:t>
        </m:r>
      </m:oMath>
      <w:r>
        <w:t xml:space="preserve">; </w:t>
      </w:r>
      <w:hyperlink w:anchor="fig7">
        <w:r>
          <w:rPr>
            <w:rStyle w:val="Hyperlink"/>
          </w:rPr>
          <w:t>Figure 7, right panel</w:t>
        </w:r>
      </w:hyperlink>
      <w:r>
        <w:t>). By taking a longer history of linguistic input into account (i.e., by using cumulative sampling), words that were not seen in the local sampling were indeed seen during cumulative sampling.</w:t>
      </w:r>
    </w:p>
    <w:p w:rsidR="00162A6B" w:rsidRDefault="00137C55">
      <w:pPr>
        <w:pStyle w:val="Heading1"/>
      </w:pPr>
      <w:bookmarkStart w:id="17" w:name="discussion"/>
      <w:r>
        <w:t>Discussion</w:t>
      </w:r>
      <w:bookmarkEnd w:id="17"/>
    </w:p>
    <w:p w:rsidR="00162A6B" w:rsidRDefault="00137C55">
      <w:pPr>
        <w:pStyle w:val="FirstParagraph"/>
      </w:pPr>
      <w:r>
        <w:t xml:space="preserve">Our primary research question (as raised by, e.g., Arciuli &amp; Simpson, 2011; Raviv &amp; Arnon, 2018; Saffran et al., 1997; Shufaniya &amp; Arnon, 2018) was whether the CBL would change in its ability to </w:t>
      </w:r>
      <w:r w:rsidRPr="0041748A">
        <w:rPr>
          <w:b/>
          <w:color w:val="F79646" w:themeColor="accent6"/>
        </w:rPr>
        <w:t>reconstruct</w:t>
      </w:r>
      <w:r>
        <w:t xml:space="preserve">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sidRPr="0041748A">
        <w:rPr>
          <w:b/>
          <w:color w:val="F79646" w:themeColor="accent6"/>
        </w:rPr>
        <w:t>, with both shorter and longer memory of caregiver speech (i.e., local and cumulative input)</w:t>
      </w:r>
      <w:r w:rsidRPr="0041748A">
        <w:rPr>
          <w:color w:val="F79646" w:themeColor="accent6"/>
        </w:rPr>
        <w:t>.</w:t>
      </w:r>
      <w: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rsidR="00162A6B" w:rsidRDefault="00137C55">
      <w:pPr>
        <w:pStyle w:val="Heading2"/>
      </w:pPr>
      <w:bookmarkStart w:id="18" w:name="different-words-at-different-ages"/>
      <w:r>
        <w:lastRenderedPageBreak/>
        <w:t>Different words at different ages</w:t>
      </w:r>
      <w:bookmarkEnd w:id="18"/>
    </w:p>
    <w:p w:rsidR="00162A6B" w:rsidRDefault="00137C55">
      <w:pPr>
        <w:pStyle w:val="FirstParagraph"/>
      </w:pPr>
      <w: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Mannle et al., 1992), which may help to </w:t>
      </w:r>
      <w:r w:rsidRPr="0041748A">
        <w:rPr>
          <w:b/>
          <w:color w:val="F79646" w:themeColor="accent6"/>
        </w:rPr>
        <w:t>explain</w:t>
      </w:r>
      <w:r>
        <w:t xml:space="preserve">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Roy et al., 2009).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recently recorded input.</w:t>
      </w:r>
    </w:p>
    <w:p w:rsidR="00162A6B" w:rsidRDefault="00137C55">
      <w:pPr>
        <w:pStyle w:val="BodyText"/>
      </w:pPr>
      <w:r w:rsidRPr="0041748A">
        <w:rPr>
          <w:b/>
          <w:color w:val="F79646" w:themeColor="accent6"/>
        </w:rPr>
        <w:lastRenderedPageBreak/>
        <w:t>A</w:t>
      </w:r>
      <w:r>
        <w:t xml:space="preserve">n improvement in memory capacity with age </w:t>
      </w:r>
      <w:r w:rsidRPr="0041748A">
        <w:rPr>
          <w:b/>
          <w:color w:val="F79646" w:themeColor="accent6"/>
        </w:rPr>
        <w:t>could also provide</w:t>
      </w:r>
      <w:r>
        <w:t xml:space="preserve"> a potential explanation for </w:t>
      </w:r>
      <w:r w:rsidRPr="0041748A">
        <w:rPr>
          <w:b/>
          <w:color w:val="F79646" w:themeColor="accent6"/>
        </w:rPr>
        <w:t>these findings on children’s use of previously unheard words</w:t>
      </w:r>
      <w:r>
        <w:t>. Throughout childhood, including the first few years, SL-relevant cortical regions continue maturing (Casey et al., 2000; Diamond, 2002; Rodríguez-Fornells et al., 2009; Uylings, 2006) with concurrent increases in 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rsidR="00162A6B" w:rsidRDefault="00137C55">
      <w:pPr>
        <w:pStyle w:val="Heading2"/>
      </w:pPr>
      <w:bookmarkStart w:id="19" w:name="abstraction-and-complex-utterances"/>
      <w:r>
        <w:t>Abstraction and complex utterances</w:t>
      </w:r>
      <w:bookmarkEnd w:id="19"/>
    </w:p>
    <w:p w:rsidR="00162A6B" w:rsidRDefault="00137C55">
      <w:pPr>
        <w:pStyle w:val="FirstParagraph"/>
      </w:pPr>
      <w:r>
        <w:t>Our findings are not consistent with a representational shift toward abstraction during the early language learning 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 (e.g., Misyak et al., 2012).</w:t>
      </w:r>
    </w:p>
    <w:p w:rsidR="00162A6B" w:rsidRDefault="00137C55">
      <w:pPr>
        <w:pStyle w:val="BodyText"/>
      </w:pPr>
      <w:r>
        <w:lastRenderedPageBreak/>
        <w:t xml:space="preserve">As the CBL model only employs a single, simple mechanism for creating and tracking linguistic units, it is impressive that it performs at above-chance levels when </w:t>
      </w:r>
      <w:r w:rsidRPr="0041748A">
        <w:rPr>
          <w:b/>
          <w:color w:val="F79646" w:themeColor="accent6"/>
        </w:rPr>
        <w:t>reconstructing</w:t>
      </w:r>
      <w:r>
        <w:t xml:space="preserve">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rsidR="00162A6B" w:rsidRDefault="00137C55">
      <w:pPr>
        <w:pStyle w:val="BodyText"/>
      </w:pPr>
      <w:r>
        <w:t>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Cristia, 2019; Roy et al., 2009).</w:t>
      </w:r>
    </w:p>
    <w:p w:rsidR="00162A6B" w:rsidRPr="0041748A" w:rsidRDefault="00137C55">
      <w:pPr>
        <w:pStyle w:val="Heading2"/>
        <w:rPr>
          <w:color w:val="F79646" w:themeColor="accent6"/>
        </w:rPr>
      </w:pPr>
      <w:bookmarkStart w:id="20" w:name="limitations-and-future-work"/>
      <w:r w:rsidRPr="0041748A">
        <w:rPr>
          <w:color w:val="F79646" w:themeColor="accent6"/>
        </w:rPr>
        <w:lastRenderedPageBreak/>
        <w:t>Limitations and Future Work</w:t>
      </w:r>
      <w:bookmarkEnd w:id="20"/>
    </w:p>
    <w:p w:rsidR="00162A6B" w:rsidRPr="0041748A" w:rsidRDefault="00137C55">
      <w:pPr>
        <w:pStyle w:val="FirstParagraph"/>
        <w:rPr>
          <w:color w:val="F79646" w:themeColor="accent6"/>
        </w:rPr>
      </w:pPr>
      <w:r w:rsidRPr="0041748A">
        <w:rPr>
          <w:b/>
          <w:color w:val="F79646" w:themeColor="accent6"/>
        </w:rPr>
        <w:t>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system, which would also yield more graded, abstract chunks.</w:t>
      </w:r>
    </w:p>
    <w:p w:rsidR="00162A6B" w:rsidRPr="0041748A" w:rsidRDefault="00137C55">
      <w:pPr>
        <w:pStyle w:val="BodyText"/>
        <w:rPr>
          <w:color w:val="F79646" w:themeColor="accent6"/>
        </w:rPr>
      </w:pPr>
      <w:r w:rsidRPr="0041748A">
        <w:rPr>
          <w:b/>
          <w:color w:val="F79646" w:themeColor="accent6"/>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 (Bauer, 2005; Casey et al., 2000; Diamond, 2002; Gathercole et al., 2004; Kail, 1991; Rodríguez-Fornells et al., 2009; Uylings, 2006; Wojcik, 2013). Why, then, do we find no age effect here? We propose two possibilities that could be explored further: (a) while these memory, processing, and executive control functions </w:t>
      </w:r>
      <w:r w:rsidRPr="0041748A">
        <w:rPr>
          <w:b/>
          <w:i/>
          <w:color w:val="F79646" w:themeColor="accent6"/>
        </w:rPr>
        <w:t>do</w:t>
      </w:r>
      <w:r w:rsidRPr="0041748A">
        <w:rPr>
          <w:b/>
          <w:color w:val="F79646" w:themeColor="accent6"/>
        </w:rPr>
        <w:t xml:space="preserve"> 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 “fine-tuning”; Roy et al. (2009); Snow (2017)). Again, neural networks may be a natural option for exploring how changes in these maturational factors interact with changing input in the creation and storage of chunks. If further research did find that </w:t>
      </w:r>
      <w:r w:rsidRPr="0041748A">
        <w:rPr>
          <w:b/>
          <w:color w:val="F79646" w:themeColor="accent6"/>
        </w:rPr>
        <w:lastRenderedPageBreak/>
        <w:t>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rsidR="00162A6B" w:rsidRDefault="00137C55">
      <w:pPr>
        <w:pStyle w:val="BodyText"/>
      </w:pPr>
      <w:r>
        <w:t xml:space="preserve">In principle, </w:t>
      </w:r>
      <w:r w:rsidRPr="0041748A">
        <w:rPr>
          <w:b/>
          <w:color w:val="F79646" w:themeColor="accent6"/>
        </w:rPr>
        <w:t>these</w:t>
      </w:r>
      <w:r>
        <w:t xml:space="preserve"> “next steps</w:t>
      </w:r>
      <w:r w:rsidRPr="0041748A">
        <w:rPr>
          <w:color w:val="F79646" w:themeColor="accent6"/>
        </w:rPr>
        <w:t>”</w:t>
      </w:r>
      <w:r w:rsidRPr="0041748A">
        <w:rPr>
          <w:b/>
          <w:color w:val="F79646" w:themeColor="accent6"/>
        </w:rPr>
        <w:t>—calling for the use of richer data—and potential neural-net implementations—to better simulate storage and processing limitations—could be explored using a number of different SL mechanisms for speech segmentation, comprehension, and production</w:t>
      </w:r>
      <w:r>
        <w:t xml:space="preserve"> (Aslin et al., 1998; Cleeremans &amp; Elman, 1993; French et al., 2011; Mareschal &amp; French, 2017; Onnis &amp; Thiessen, 2013; Pelucchi et al., 2009; Perruchet &amp; Desaulty, 2008; Perruchet &amp; Vinter, 1998; Saffran et al., 1996). </w:t>
      </w:r>
      <w:r w:rsidRPr="0041748A">
        <w:rPr>
          <w:b/>
          <w:color w:val="F79646" w:themeColor="accent6"/>
        </w:rPr>
        <w:t>In fact, a number of existing models already take closer inspiration from neurocognitivie maturational findings (e.g., Mareschal &amp; French, 2017; Cleeremans &amp; Elman, 1993; Perruchet &amp; Vinter, 1998), and a side-by-side comparison of their longitudinal performance on natural language data with the CBL would be a worthwhile follow-up to the present research.</w:t>
      </w:r>
      <w:r>
        <w:t xml:space="preserve"> Notably, while the CBL here performed above chance on average, there </w:t>
      </w:r>
      <w:r w:rsidRPr="0041748A">
        <w:rPr>
          <w:b/>
          <w:color w:val="F79646" w:themeColor="accent6"/>
        </w:rPr>
        <w:t>was</w:t>
      </w:r>
      <w:r>
        <w:t xml:space="preserve"> still room to improve</w:t>
      </w:r>
      <w:r w:rsidRPr="0041748A">
        <w:rPr>
          <w:b/>
          <w:color w:val="F79646" w:themeColor="accent6"/>
        </w:rPr>
        <w:t>; another model may show even better performance, or the CBL might improve upon the addition of some of these maturational features</w:t>
      </w:r>
      <w:r w:rsidRPr="0041748A">
        <w:rPr>
          <w:color w:val="F79646" w:themeColor="accent6"/>
        </w:rPr>
        <w:t>.</w:t>
      </w:r>
      <w:r>
        <w:t xml:space="preserve"> </w:t>
      </w:r>
    </w:p>
    <w:p w:rsidR="00162A6B" w:rsidRDefault="00137C55">
      <w:pPr>
        <w:pStyle w:val="Heading1"/>
      </w:pPr>
      <w:bookmarkStart w:id="21" w:name="conclusion"/>
      <w:r>
        <w:t>Conclusion</w:t>
      </w:r>
      <w:bookmarkEnd w:id="21"/>
    </w:p>
    <w:p w:rsidR="00162A6B" w:rsidRDefault="00137C55">
      <w:pPr>
        <w:pStyle w:val="FirstParagraph"/>
      </w:pPr>
      <w:r>
        <w:t xml:space="preserve">In this study, we investigated whether the CBL model—a computational learner using one SL mechanism (BTP)—could </w:t>
      </w:r>
      <w:r w:rsidRPr="0041748A">
        <w:rPr>
          <w:b/>
          <w:color w:val="F79646" w:themeColor="accent6"/>
        </w:rPr>
        <w:t>reconstruct children’s spontaneous speech productions</w:t>
      </w:r>
      <w:r>
        <w:t xml:space="preserve"> with equal accuracy across ages 1;0 to 4;0 given information about their speech input. This work extended previous CBL studies by testing the robustness of utterance reconstruction across an age </w:t>
      </w:r>
      <w:r>
        <w:lastRenderedPageBreak/>
        <w:t xml:space="preserve">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&amp; Arnon, 2018; Shufaniya &amp; Arnon, 2018). A rich and growing literature on SL in development has demonstrated that similar mechanisms can </w:t>
      </w:r>
      <w:r w:rsidRPr="0041748A">
        <w:rPr>
          <w:b/>
          <w:color w:val="F79646" w:themeColor="accent6"/>
        </w:rPr>
        <w:t>reconstruct</w:t>
      </w:r>
      <w:r>
        <w:t xml:space="preserve">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w:t>
      </w:r>
      <w:r w:rsidRPr="0041748A">
        <w:rPr>
          <w:b/>
          <w:color w:val="F79646" w:themeColor="accent6"/>
        </w:rPr>
        <w:t>SL—BTP, but also other mechanisms—</w:t>
      </w:r>
      <w:r>
        <w:t xml:space="preserve"> with other developing skills that also impact language learning.</w:t>
      </w:r>
    </w:p>
    <w:p w:rsidR="00162A6B" w:rsidRDefault="00137C55">
      <w:pPr>
        <w:pStyle w:val="Heading1"/>
      </w:pPr>
      <w:bookmarkStart w:id="22" w:name="acknowledgements"/>
      <w:r>
        <w:t>Acknowledgements</w:t>
      </w:r>
      <w:bookmarkEnd w:id="22"/>
    </w:p>
    <w:p w:rsidR="00162A6B" w:rsidRDefault="00137C55">
      <w:pPr>
        <w:pStyle w:val="FirstParagraph"/>
      </w:pPr>
      <w:r>
        <w:t>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sidR="00162A6B" w:rsidRDefault="00137C55">
      <w:r>
        <w:br w:type="page"/>
      </w:r>
    </w:p>
    <w:p w:rsidR="00162A6B" w:rsidRDefault="00137C55">
      <w:pPr>
        <w:pStyle w:val="Heading1"/>
      </w:pPr>
      <w:bookmarkStart w:id="23" w:name="references"/>
      <w:r>
        <w:lastRenderedPageBreak/>
        <w:t>References</w:t>
      </w:r>
      <w:bookmarkEnd w:id="23"/>
    </w:p>
    <w:p w:rsidR="00162A6B" w:rsidRDefault="00137C55">
      <w:pPr>
        <w:pStyle w:val="Bibliography"/>
      </w:pPr>
      <w:bookmarkStart w:id="24" w:name="ref-arciuli2011statistical"/>
      <w:bookmarkStart w:id="25" w:name="refs"/>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rsidR="00162A6B" w:rsidRDefault="00137C55">
      <w:pPr>
        <w:pStyle w:val="Bibliography"/>
      </w:pPr>
      <w:bookmarkStart w:id="26" w:name="ref-arnon2011brush"/>
      <w:bookmarkEnd w:id="24"/>
      <w:r>
        <w:t xml:space="preserve">Arnon, I., &amp; Clark, E. V. (2011). Why brush your teeth is better than teeth–children’s word production is facilitated in familiar sentence-frames. </w:t>
      </w:r>
      <w:r>
        <w:rPr>
          <w:i/>
        </w:rPr>
        <w:t>Language Learning and Development</w:t>
      </w:r>
      <w:r>
        <w:t xml:space="preserve">, </w:t>
      </w:r>
      <w:r>
        <w:rPr>
          <w:i/>
        </w:rPr>
        <w:t>7</w:t>
      </w:r>
      <w:r>
        <w:t>(2), 107–129.</w:t>
      </w:r>
    </w:p>
    <w:p w:rsidR="00162A6B" w:rsidRDefault="00137C55">
      <w:pPr>
        <w:pStyle w:val="Bibliography"/>
      </w:pPr>
      <w:bookmarkStart w:id="27" w:name="ref-arnon2017"/>
      <w:bookmarkEnd w:id="26"/>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rsidR="00162A6B" w:rsidRDefault="00137C55">
      <w:pPr>
        <w:pStyle w:val="Bibliography"/>
      </w:pPr>
      <w:bookmarkStart w:id="28" w:name="ref-arnon2010more"/>
      <w:bookmarkEnd w:id="27"/>
      <w:r>
        <w:t xml:space="preserve">Arnon, I., &amp; Snider, N. (2010). More than words: Frequency effects for multi-word phrases. </w:t>
      </w:r>
      <w:r>
        <w:rPr>
          <w:i/>
        </w:rPr>
        <w:t>Journal of Memory and Language</w:t>
      </w:r>
      <w:r>
        <w:t xml:space="preserve">, </w:t>
      </w:r>
      <w:r>
        <w:rPr>
          <w:i/>
        </w:rPr>
        <w:t>62</w:t>
      </w:r>
      <w:r>
        <w:t>(1), 67–82.</w:t>
      </w:r>
    </w:p>
    <w:p w:rsidR="00162A6B" w:rsidRDefault="00137C55">
      <w:pPr>
        <w:pStyle w:val="Bibliography"/>
      </w:pPr>
      <w:bookmarkStart w:id="29" w:name="ref-aslin1998computation"/>
      <w:bookmarkEnd w:id="28"/>
      <w:r>
        <w:t xml:space="preserve">Aslin, R. N., Saffran, J. R., &amp; Newport, E. L. (1998). Computation of conditional probability statistics by 8-month-old infants. </w:t>
      </w:r>
      <w:r>
        <w:rPr>
          <w:i/>
        </w:rPr>
        <w:t>Psychological Science</w:t>
      </w:r>
      <w:r>
        <w:t xml:space="preserve">, </w:t>
      </w:r>
      <w:r>
        <w:rPr>
          <w:i/>
        </w:rPr>
        <w:t>9</w:t>
      </w:r>
      <w:r>
        <w:t>(4), 321–324.</w:t>
      </w:r>
    </w:p>
    <w:p w:rsidR="00162A6B" w:rsidRDefault="00137C55">
      <w:pPr>
        <w:pStyle w:val="Bibliography"/>
      </w:pPr>
      <w:bookmarkStart w:id="30" w:name="ref-bannard2009modeling"/>
      <w:bookmarkEnd w:id="29"/>
      <w:r>
        <w:t xml:space="preserve">Bannard, C., Lieven, E., &amp; Tomasello, M. (2009). Modeling children’s early grammatical knowledge. </w:t>
      </w:r>
      <w:r>
        <w:rPr>
          <w:i/>
        </w:rPr>
        <w:t>Proceedings of the National Academy of Sciences</w:t>
      </w:r>
      <w:r>
        <w:t xml:space="preserve">, </w:t>
      </w:r>
      <w:r>
        <w:rPr>
          <w:i/>
        </w:rPr>
        <w:t>106</w:t>
      </w:r>
      <w:r>
        <w:t>(41), 17284–17289.</w:t>
      </w:r>
    </w:p>
    <w:p w:rsidR="00162A6B" w:rsidRDefault="00137C55">
      <w:pPr>
        <w:pStyle w:val="Bibliography"/>
      </w:pPr>
      <w:bookmarkStart w:id="31" w:name="ref-bannard2008stored"/>
      <w:bookmarkEnd w:id="30"/>
      <w:r>
        <w:t xml:space="preserve">Bannard, C., &amp; Matthews, D. (2008). Stored word sequences in language learning: The effect of familiarity on children’s repetition of four-word combinations. </w:t>
      </w:r>
      <w:r>
        <w:rPr>
          <w:i/>
        </w:rPr>
        <w:t>Psychological Science</w:t>
      </w:r>
      <w:r>
        <w:t xml:space="preserve">, </w:t>
      </w:r>
      <w:r>
        <w:rPr>
          <w:i/>
        </w:rPr>
        <w:t>19</w:t>
      </w:r>
      <w:r>
        <w:t>(3), 241–248.</w:t>
      </w:r>
    </w:p>
    <w:p w:rsidR="00162A6B" w:rsidRDefault="00137C55">
      <w:pPr>
        <w:pStyle w:val="Bibliography"/>
      </w:pPr>
      <w:bookmarkStart w:id="32" w:name="ref-lme4"/>
      <w:bookmarkEnd w:id="31"/>
      <w:r>
        <w:t xml:space="preserve">Bates, D., Mächler, M., Bolker, B., &amp; Walker, S. (2015). Fitting linear mixed-effects models using lme4. </w:t>
      </w:r>
      <w:r>
        <w:rPr>
          <w:i/>
        </w:rPr>
        <w:t>Journal of Statistical Software</w:t>
      </w:r>
      <w:r>
        <w:t xml:space="preserve">, </w:t>
      </w:r>
      <w:r>
        <w:rPr>
          <w:i/>
        </w:rPr>
        <w:t>67</w:t>
      </w:r>
      <w:r>
        <w:t>(1), 1–48.</w:t>
      </w:r>
    </w:p>
    <w:p w:rsidR="00162A6B" w:rsidRDefault="00137C55">
      <w:pPr>
        <w:pStyle w:val="Bibliography"/>
      </w:pPr>
      <w:bookmarkStart w:id="33" w:name="ref-bauer2005developments"/>
      <w:bookmarkEnd w:id="32"/>
      <w:r>
        <w:lastRenderedPageBreak/>
        <w:t xml:space="preserve">Bauer, P. J. (2005). Developments in declarative memory: Decreasing susceptibility to storage failure over the second year of life. </w:t>
      </w:r>
      <w:r>
        <w:rPr>
          <w:i/>
        </w:rPr>
        <w:t>Psychological Science</w:t>
      </w:r>
      <w:r>
        <w:t xml:space="preserve">, </w:t>
      </w:r>
      <w:r>
        <w:rPr>
          <w:i/>
        </w:rPr>
        <w:t>16</w:t>
      </w:r>
      <w:r>
        <w:t>(1), 41–47.</w:t>
      </w:r>
    </w:p>
    <w:p w:rsidR="00162A6B" w:rsidRDefault="00137C55">
      <w:pPr>
        <w:pStyle w:val="Bibliography"/>
      </w:pPr>
      <w:bookmarkStart w:id="34" w:name="ref-bell2009predictability"/>
      <w:bookmarkEnd w:id="33"/>
      <w:r>
        <w:t xml:space="preserve">Bell, A., Brenier, J. M., Gregory, M., Girand, C., &amp; Jurafsky, D. (2009). Predictability effects on durations of content and function words in conversational English. </w:t>
      </w:r>
      <w:r>
        <w:rPr>
          <w:i/>
        </w:rPr>
        <w:t>Journal of Memory and Language</w:t>
      </w:r>
      <w:r>
        <w:t xml:space="preserve">, </w:t>
      </w:r>
      <w:r>
        <w:rPr>
          <w:i/>
        </w:rPr>
        <w:t>60</w:t>
      </w:r>
      <w:r>
        <w:t>(1), 92–111.</w:t>
      </w:r>
    </w:p>
    <w:p w:rsidR="00162A6B" w:rsidRDefault="00137C55">
      <w:pPr>
        <w:pStyle w:val="Bibliography"/>
      </w:pPr>
      <w:bookmarkStart w:id="35" w:name="ref-bernard2012prosodic"/>
      <w:bookmarkEnd w:id="34"/>
      <w:r>
        <w:t xml:space="preserve">Bernard, C., &amp; Gervain, J. (2012). Prosodic cues to word order: What level of representation? </w:t>
      </w:r>
      <w:r>
        <w:rPr>
          <w:i/>
        </w:rPr>
        <w:t>Frontiers in Psychology</w:t>
      </w:r>
      <w:r>
        <w:t xml:space="preserve">, </w:t>
      </w:r>
      <w:r>
        <w:rPr>
          <w:i/>
        </w:rPr>
        <w:t>3</w:t>
      </w:r>
      <w:r>
        <w:t>, 451.</w:t>
      </w:r>
    </w:p>
    <w:p w:rsidR="00162A6B" w:rsidRDefault="00137C55">
      <w:pPr>
        <w:pStyle w:val="Bibliography"/>
      </w:pPr>
      <w:bookmarkStart w:id="36" w:name="ref-bulf2011visual"/>
      <w:bookmarkEnd w:id="35"/>
      <w:r>
        <w:t xml:space="preserve">Bulf, H., Johnson, S. P., &amp; Valenza, E. (2011). Visual statistical learning in the newborn infant. </w:t>
      </w:r>
      <w:r>
        <w:rPr>
          <w:i/>
        </w:rPr>
        <w:t>Cognition</w:t>
      </w:r>
      <w:r>
        <w:t xml:space="preserve">, </w:t>
      </w:r>
      <w:r>
        <w:rPr>
          <w:i/>
        </w:rPr>
        <w:t>121</w:t>
      </w:r>
      <w:r>
        <w:t>(1), 127–132.</w:t>
      </w:r>
    </w:p>
    <w:p w:rsidR="00162A6B" w:rsidRDefault="00137C55">
      <w:pPr>
        <w:pStyle w:val="Bibliography"/>
      </w:pPr>
      <w:bookmarkStart w:id="37" w:name="ref-casey2000structural"/>
      <w:bookmarkEnd w:id="36"/>
      <w:r>
        <w:t xml:space="preserve">Casey, B. J., Giedd, J. N., &amp; Thomas, K. M. (2000). Structural and functional brain development and its relation to cognitive development. </w:t>
      </w:r>
      <w:r>
        <w:rPr>
          <w:i/>
        </w:rPr>
        <w:t>Biological Psychology</w:t>
      </w:r>
      <w:r>
        <w:t xml:space="preserve">, </w:t>
      </w:r>
      <w:r>
        <w:rPr>
          <w:i/>
        </w:rPr>
        <w:t>54</w:t>
      </w:r>
      <w:r>
        <w:t>(1-3), 241–257.</w:t>
      </w:r>
    </w:p>
    <w:p w:rsidR="00162A6B" w:rsidRDefault="00137C55">
      <w:pPr>
        <w:pStyle w:val="Bibliography"/>
      </w:pPr>
      <w:bookmarkStart w:id="38" w:name="ref-casillas2019step"/>
      <w:bookmarkEnd w:id="37"/>
      <w:r>
        <w:t xml:space="preserve">Casillas, M., &amp; Cristia, A. (2019). A step-by-step guide to collecting and analyzing long-format speech environment (LFSE) recordings. </w:t>
      </w:r>
      <w:r>
        <w:rPr>
          <w:i/>
        </w:rPr>
        <w:t>Collabra</w:t>
      </w:r>
      <w:r>
        <w:t xml:space="preserve">, </w:t>
      </w:r>
      <w:r>
        <w:rPr>
          <w:i/>
        </w:rPr>
        <w:t>5</w:t>
      </w:r>
      <w:r>
        <w:t xml:space="preserve">(1), 24. </w:t>
      </w:r>
      <w:hyperlink r:id="rId14">
        <w:r>
          <w:rPr>
            <w:rStyle w:val="Hyperlink"/>
          </w:rPr>
          <w:t>https://doi.org/doi:10.1525/collabra.209</w:t>
        </w:r>
      </w:hyperlink>
    </w:p>
    <w:p w:rsidR="00162A6B" w:rsidRDefault="00137C55">
      <w:pPr>
        <w:pStyle w:val="Bibliography"/>
      </w:pPr>
      <w:bookmarkStart w:id="39" w:name="ref-chambers2003infants"/>
      <w:bookmarkEnd w:id="38"/>
      <w:r>
        <w:t xml:space="preserve">Chambers, K. E., Onishi, K. H., &amp; Fisher, C. (2003). Infants learn phonotactic regularities from brief auditory experience. </w:t>
      </w:r>
      <w:r>
        <w:rPr>
          <w:i/>
        </w:rPr>
        <w:t>Cognition</w:t>
      </w:r>
      <w:r>
        <w:t xml:space="preserve">, </w:t>
      </w:r>
      <w:r>
        <w:rPr>
          <w:i/>
        </w:rPr>
        <w:t>87</w:t>
      </w:r>
      <w:r>
        <w:t>(2), B69–B77.</w:t>
      </w:r>
    </w:p>
    <w:p w:rsidR="00162A6B" w:rsidRDefault="00137C55">
      <w:pPr>
        <w:pStyle w:val="Bibliography"/>
      </w:pPr>
      <w:bookmarkStart w:id="40" w:name="ref-chang2006using"/>
      <w:bookmarkEnd w:id="39"/>
      <w:r>
        <w:t xml:space="preserve">Chang, F., Lieven, E., &amp; Tomasello, M. (2006). Using child utterances to evaluate syntax acquisition algorithms. </w:t>
      </w:r>
      <w:r>
        <w:rPr>
          <w:i/>
        </w:rPr>
        <w:t>Proceedings of the 28th Annual Meeting of the Cognitive Science Society</w:t>
      </w:r>
      <w:r>
        <w:t>, 154–159.</w:t>
      </w:r>
    </w:p>
    <w:p w:rsidR="00162A6B" w:rsidRDefault="00137C55">
      <w:pPr>
        <w:pStyle w:val="Bibliography"/>
      </w:pPr>
      <w:bookmarkStart w:id="41" w:name="ref-chang2008automatic"/>
      <w:bookmarkEnd w:id="40"/>
      <w:r>
        <w:t xml:space="preserve">Chang, F., Lieven, E., &amp; Tomasello, M. (2008). Automatic evaluation of syntactic learners in typologically-different languages. </w:t>
      </w:r>
      <w:r>
        <w:rPr>
          <w:i/>
        </w:rPr>
        <w:t>Cognitive Systems Research</w:t>
      </w:r>
      <w:r>
        <w:t xml:space="preserve">, </w:t>
      </w:r>
      <w:r>
        <w:rPr>
          <w:i/>
        </w:rPr>
        <w:t>9</w:t>
      </w:r>
      <w:r>
        <w:t>(3), 198–213.</w:t>
      </w:r>
    </w:p>
    <w:p w:rsidR="00162A6B" w:rsidRDefault="00137C55">
      <w:pPr>
        <w:pStyle w:val="Bibliography"/>
      </w:pPr>
      <w:bookmarkStart w:id="42" w:name="ref-christiansen2017more"/>
      <w:bookmarkEnd w:id="41"/>
      <w:r>
        <w:lastRenderedPageBreak/>
        <w:t xml:space="preserve">Christiansen, M. H., &amp; Arnon, I. (2017). More than words: The role of multiword sequences in language learning and use. </w:t>
      </w:r>
      <w:r>
        <w:rPr>
          <w:i/>
        </w:rPr>
        <w:t>Topics in Cognitive Science</w:t>
      </w:r>
      <w:r>
        <w:t xml:space="preserve">, </w:t>
      </w:r>
      <w:r>
        <w:rPr>
          <w:i/>
        </w:rPr>
        <w:t>9</w:t>
      </w:r>
      <w:r>
        <w:t>(3), 542–551.</w:t>
      </w:r>
    </w:p>
    <w:p w:rsidR="00162A6B" w:rsidRDefault="00137C55">
      <w:pPr>
        <w:pStyle w:val="Bibliography"/>
      </w:pPr>
      <w:bookmarkStart w:id="43" w:name="ref-christiansen2016now"/>
      <w:bookmarkEnd w:id="42"/>
      <w:r>
        <w:t xml:space="preserve">Christiansen, M. H., &amp; Chater, N. (2016). The now-or-never bottleneck: A fundamental constraint on language. </w:t>
      </w:r>
      <w:r>
        <w:rPr>
          <w:i/>
        </w:rPr>
        <w:t>Behavioral and Brain Sciences</w:t>
      </w:r>
      <w:r>
        <w:t xml:space="preserve">, </w:t>
      </w:r>
      <w:r>
        <w:rPr>
          <w:i/>
        </w:rPr>
        <w:t>39</w:t>
      </w:r>
      <w:r>
        <w:t>, e62.</w:t>
      </w:r>
    </w:p>
    <w:p w:rsidR="00162A6B" w:rsidRDefault="00137C55">
      <w:pPr>
        <w:pStyle w:val="Bibliography"/>
      </w:pPr>
      <w:bookmarkStart w:id="44" w:name="ref-cleeremans1993mechanisms"/>
      <w:bookmarkEnd w:id="43"/>
      <w:r>
        <w:t xml:space="preserve">Cleeremans, A., &amp; Elman, J. (1993). </w:t>
      </w:r>
      <w:r>
        <w:rPr>
          <w:i/>
        </w:rPr>
        <w:t>Mechanisms of implicit learning: Connectionist models of sequence processing</w:t>
      </w:r>
      <w:r>
        <w:t>. MIT press.</w:t>
      </w:r>
    </w:p>
    <w:p w:rsidR="00162A6B" w:rsidRDefault="00137C55">
      <w:pPr>
        <w:pStyle w:val="Bibliography"/>
      </w:pPr>
      <w:bookmarkStart w:id="45" w:name="ref-conway2010implicit"/>
      <w:bookmarkEnd w:id="44"/>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rsidR="00162A6B" w:rsidRDefault="00137C55">
      <w:pPr>
        <w:pStyle w:val="Bibliography"/>
      </w:pPr>
      <w:bookmarkStart w:id="46" w:name="ref-conway2005modality"/>
      <w:bookmarkEnd w:id="45"/>
      <w:r>
        <w:t xml:space="preserve">Conway, C. M., &amp; Christiansen, M. H. (2005). Modality-constrained statistical learning of tactile, visual, and auditory sequences. </w:t>
      </w:r>
      <w:r>
        <w:rPr>
          <w:i/>
        </w:rPr>
        <w:t>Journal of Experimental Psychology: Learning, Memory, and Cognition</w:t>
      </w:r>
      <w:r>
        <w:t xml:space="preserve">, </w:t>
      </w:r>
      <w:r>
        <w:rPr>
          <w:i/>
        </w:rPr>
        <w:t>31</w:t>
      </w:r>
      <w:r>
        <w:t>(1), 24–39.</w:t>
      </w:r>
    </w:p>
    <w:p w:rsidR="00162A6B" w:rsidRDefault="00137C55">
      <w:pPr>
        <w:pStyle w:val="Bibliography"/>
      </w:pPr>
      <w:bookmarkStart w:id="47" w:name="ref-demuth2006word"/>
      <w:bookmarkEnd w:id="46"/>
      <w:r>
        <w:t xml:space="preserve">Demuth, K., Culbertson, J., &amp; Alter, J. (2006). Word-minimality, epenthesis and coda licensing in the early acquisition of English. </w:t>
      </w:r>
      <w:r>
        <w:rPr>
          <w:i/>
        </w:rPr>
        <w:t>Language and Speech</w:t>
      </w:r>
      <w:r>
        <w:t xml:space="preserve">, </w:t>
      </w:r>
      <w:r>
        <w:rPr>
          <w:i/>
        </w:rPr>
        <w:t>49</w:t>
      </w:r>
      <w:r>
        <w:t xml:space="preserve">(2), 137–173. </w:t>
      </w:r>
      <w:hyperlink r:id="rId15">
        <w:r>
          <w:rPr>
            <w:rStyle w:val="Hyperlink"/>
          </w:rPr>
          <w:t>https://doi.org/doi:10.1177/00238309060490020201</w:t>
        </w:r>
      </w:hyperlink>
    </w:p>
    <w:p w:rsidR="00162A6B" w:rsidRDefault="00137C55">
      <w:pPr>
        <w:pStyle w:val="Bibliography"/>
      </w:pPr>
      <w:bookmarkStart w:id="48" w:name="ref-diamond2002normal"/>
      <w:bookmarkEnd w:id="47"/>
      <w:r>
        <w:t xml:space="preserve">Diamond, A. (2002). Normal development of prefrontal cortex from birth to young adulthood: Cognitive functions, anatomy, and biochemistry. In D. Stuss &amp; R. Knights (Eds.), </w:t>
      </w:r>
      <w:r>
        <w:rPr>
          <w:i/>
        </w:rPr>
        <w:t>Principles of frontal lobe function</w:t>
      </w:r>
      <w:r>
        <w:t xml:space="preserve"> (pp. 466–503). New York: Oxford University Press.</w:t>
      </w:r>
    </w:p>
    <w:p w:rsidR="00162A6B" w:rsidRDefault="00137C55">
      <w:pPr>
        <w:pStyle w:val="Bibliography"/>
      </w:pPr>
      <w:bookmarkStart w:id="49" w:name="ref-diessel2000development"/>
      <w:bookmarkEnd w:id="48"/>
      <w:r>
        <w:t xml:space="preserve">Diessel, H., &amp; Tomasello, M. (2000). The development of relative clauses in spontaneous child speech. </w:t>
      </w:r>
      <w:r>
        <w:rPr>
          <w:i/>
        </w:rPr>
        <w:t>Cognitive Linguistics</w:t>
      </w:r>
      <w:r>
        <w:t xml:space="preserve">, </w:t>
      </w:r>
      <w:r>
        <w:rPr>
          <w:i/>
        </w:rPr>
        <w:t>11</w:t>
      </w:r>
      <w:r>
        <w:t>(1/2), 131–152.</w:t>
      </w:r>
    </w:p>
    <w:p w:rsidR="00162A6B" w:rsidRDefault="00137C55">
      <w:pPr>
        <w:pStyle w:val="Bibliography"/>
      </w:pPr>
      <w:bookmarkStart w:id="50" w:name="ref-emberson2011timing"/>
      <w:bookmarkEnd w:id="49"/>
      <w:r>
        <w:lastRenderedPageBreak/>
        <w:t xml:space="preserve">Emberson, L. L., Conway, C. M., &amp; Christiansen, M. H. (2011). Timing is everything: Changes in presentation rate have opposite effects on auditory and visual implicit statistical learning. </w:t>
      </w:r>
      <w:r>
        <w:rPr>
          <w:i/>
        </w:rPr>
        <w:t>The Quarterly Journal of Experimental Psychology</w:t>
      </w:r>
      <w:r>
        <w:t xml:space="preserve">, </w:t>
      </w:r>
      <w:r>
        <w:rPr>
          <w:i/>
        </w:rPr>
        <w:t>64</w:t>
      </w:r>
      <w:r>
        <w:t>(5), 1021–1040.</w:t>
      </w:r>
    </w:p>
    <w:p w:rsidR="00162A6B" w:rsidRDefault="00137C55">
      <w:pPr>
        <w:pStyle w:val="Bibliography"/>
      </w:pPr>
      <w:bookmarkStart w:id="51" w:name="ref-ferreira2007good"/>
      <w:bookmarkEnd w:id="50"/>
      <w:r>
        <w:t xml:space="preserve">Ferreira, F., &amp; Patson, N. D. (2007). The ’good enough’ approach to language comprehension. </w:t>
      </w:r>
      <w:r>
        <w:rPr>
          <w:i/>
        </w:rPr>
        <w:t>Language and Linguistics Compass</w:t>
      </w:r>
      <w:r>
        <w:t xml:space="preserve">, </w:t>
      </w:r>
      <w:r>
        <w:rPr>
          <w:i/>
        </w:rPr>
        <w:t>1</w:t>
      </w:r>
      <w:r>
        <w:t>(1-2), 71–83.</w:t>
      </w:r>
    </w:p>
    <w:p w:rsidR="00162A6B" w:rsidRDefault="00137C55">
      <w:pPr>
        <w:pStyle w:val="Bibliography"/>
      </w:pPr>
      <w:bookmarkStart w:id="52" w:name="ref-french2011tracx"/>
      <w:bookmarkEnd w:id="51"/>
      <w:r>
        <w:t xml:space="preserve">French, R. M., Addyman, C., &amp; Mareschal, D. (2011). TRACX: A recognition-based connectionist framework for sequence segmentation and chunk extraction. </w:t>
      </w:r>
      <w:r>
        <w:rPr>
          <w:i/>
        </w:rPr>
        <w:t>Psychological Review</w:t>
      </w:r>
      <w:r>
        <w:t xml:space="preserve">, </w:t>
      </w:r>
      <w:r>
        <w:rPr>
          <w:i/>
        </w:rPr>
        <w:t>118</w:t>
      </w:r>
      <w:r>
        <w:t>(4), 614.</w:t>
      </w:r>
    </w:p>
    <w:p w:rsidR="00162A6B" w:rsidRDefault="00137C55">
      <w:pPr>
        <w:pStyle w:val="Bibliography"/>
      </w:pPr>
      <w:bookmarkStart w:id="53" w:name="ref-frost2016simultaneous"/>
      <w:bookmarkEnd w:id="52"/>
      <w:r>
        <w:t xml:space="preserve">Frost, R. L. A., &amp; Monaghan, P. (2016). Simultaneous segmentation and generalisation of non-adjacent dependencies from continuous speech. </w:t>
      </w:r>
      <w:r>
        <w:rPr>
          <w:i/>
        </w:rPr>
        <w:t>Cognition</w:t>
      </w:r>
      <w:r>
        <w:t xml:space="preserve">, </w:t>
      </w:r>
      <w:r>
        <w:rPr>
          <w:i/>
        </w:rPr>
        <w:t>147</w:t>
      </w:r>
      <w:r>
        <w:t>, 70–74.</w:t>
      </w:r>
    </w:p>
    <w:p w:rsidR="00162A6B" w:rsidRDefault="00137C55">
      <w:pPr>
        <w:pStyle w:val="Bibliography"/>
      </w:pPr>
      <w:bookmarkStart w:id="54" w:name="ref-frost2019"/>
      <w:bookmarkEnd w:id="53"/>
      <w:r>
        <w:t xml:space="preserve">Frost, R. L. A., Monaghan, P., &amp; Christiansen, M. H. (2019). Mark my words: High frequency words impact early stages of language learning. </w:t>
      </w:r>
      <w:r>
        <w:rPr>
          <w:i/>
        </w:rPr>
        <w:t>Journal of Experimental Psychology: Learning, Memory, &amp; Cognition</w:t>
      </w:r>
      <w:r>
        <w:t>, Advance online publication.</w:t>
      </w:r>
    </w:p>
    <w:p w:rsidR="00162A6B" w:rsidRDefault="00137C55">
      <w:pPr>
        <w:pStyle w:val="Bibliography"/>
      </w:pPr>
      <w:bookmarkStart w:id="55" w:name="ref-gathercole2004structure"/>
      <w:bookmarkEnd w:id="54"/>
      <w:r>
        <w:t xml:space="preserve">Gathercole, S. E., Pickering, S. J., Ambridge, B., &amp; Wearing, H. (2004). The structure of working memory from 4 to 15 years of age. </w:t>
      </w:r>
      <w:r>
        <w:rPr>
          <w:i/>
        </w:rPr>
        <w:t>Developmental Psychology</w:t>
      </w:r>
      <w:r>
        <w:t xml:space="preserve">, </w:t>
      </w:r>
      <w:r>
        <w:rPr>
          <w:i/>
        </w:rPr>
        <w:t>40</w:t>
      </w:r>
      <w:r>
        <w:t>(2), 177–190.</w:t>
      </w:r>
    </w:p>
    <w:p w:rsidR="00162A6B" w:rsidRDefault="00137C55">
      <w:pPr>
        <w:pStyle w:val="Bibliography"/>
      </w:pPr>
      <w:bookmarkStart w:id="56" w:name="ref-griffiths2015rational"/>
      <w:bookmarkEnd w:id="55"/>
      <w:r>
        <w:t xml:space="preserve">Griffiths, T. L., Lieder, F., &amp; Goodman, N. D. (2015). Rational use of cognitive resources: Levels of analysis between the computational and the algorithmic. </w:t>
      </w:r>
      <w:r>
        <w:rPr>
          <w:i/>
        </w:rPr>
        <w:t>Topics in Cognitive Science</w:t>
      </w:r>
      <w:r>
        <w:t xml:space="preserve">, </w:t>
      </w:r>
      <w:r>
        <w:rPr>
          <w:i/>
        </w:rPr>
        <w:t>7</w:t>
      </w:r>
      <w:r>
        <w:t>(2), 217–229.</w:t>
      </w:r>
    </w:p>
    <w:p w:rsidR="00162A6B" w:rsidRDefault="00137C55">
      <w:pPr>
        <w:pStyle w:val="Bibliography"/>
      </w:pPr>
      <w:bookmarkStart w:id="57" w:name="ref-hoff2010context"/>
      <w:bookmarkEnd w:id="56"/>
      <w:r>
        <w:t xml:space="preserve">Hoff, E. (2010). Context effects on young children’s language use: The influence of conversational setting and partner. </w:t>
      </w:r>
      <w:r>
        <w:rPr>
          <w:i/>
        </w:rPr>
        <w:t>First Language</w:t>
      </w:r>
      <w:r>
        <w:t xml:space="preserve">, </w:t>
      </w:r>
      <w:r>
        <w:rPr>
          <w:i/>
        </w:rPr>
        <w:t>30</w:t>
      </w:r>
      <w:r>
        <w:t>(3-4), 461–472.</w:t>
      </w:r>
    </w:p>
    <w:p w:rsidR="00162A6B" w:rsidRDefault="00137C55">
      <w:pPr>
        <w:pStyle w:val="Bibliography"/>
      </w:pPr>
      <w:bookmarkStart w:id="58" w:name="ref-hoff1991older"/>
      <w:bookmarkEnd w:id="57"/>
      <w:r>
        <w:lastRenderedPageBreak/>
        <w:t xml:space="preserve">Hoff-Ginsberg, E., &amp; Krueger, W. M. (1991). Older siblings as conversational partners. </w:t>
      </w:r>
      <w:r>
        <w:rPr>
          <w:i/>
        </w:rPr>
        <w:t>Merrill-Palmer Quarterly</w:t>
      </w:r>
      <w:r>
        <w:t xml:space="preserve">, </w:t>
      </w:r>
      <w:r>
        <w:rPr>
          <w:i/>
        </w:rPr>
        <w:t>37</w:t>
      </w:r>
      <w:r>
        <w:t>(3), 465–481.</w:t>
      </w:r>
    </w:p>
    <w:p w:rsidR="00162A6B" w:rsidRDefault="00137C55">
      <w:pPr>
        <w:pStyle w:val="Bibliography"/>
      </w:pPr>
      <w:bookmarkStart w:id="59" w:name="ref-johnson2009abstract"/>
      <w:bookmarkEnd w:id="58"/>
      <w:r>
        <w:t xml:space="preserve">Johnson, S. P., Fernandes, K. J., Frank, M. C., Kirkham, N., Marcus, G., Rabagliati, H., &amp; Slemmer, J. A. (2009). Abstract rule learning for visual sequences in 8-and 11-month-olds. </w:t>
      </w:r>
      <w:r>
        <w:rPr>
          <w:i/>
        </w:rPr>
        <w:t>Infancy</w:t>
      </w:r>
      <w:r>
        <w:t xml:space="preserve">, </w:t>
      </w:r>
      <w:r>
        <w:rPr>
          <w:i/>
        </w:rPr>
        <w:t>14</w:t>
      </w:r>
      <w:r>
        <w:t>(1), 2–18.</w:t>
      </w:r>
    </w:p>
    <w:p w:rsidR="00162A6B" w:rsidRDefault="00137C55">
      <w:pPr>
        <w:pStyle w:val="Bibliography"/>
      </w:pPr>
      <w:bookmarkStart w:id="60" w:name="ref-jost201610"/>
      <w:bookmarkEnd w:id="59"/>
      <w:r>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Washington D.C.: Mouton de Gruyter.</w:t>
      </w:r>
    </w:p>
    <w:p w:rsidR="00162A6B" w:rsidRDefault="00137C55">
      <w:pPr>
        <w:pStyle w:val="Bibliography"/>
      </w:pPr>
      <w:bookmarkStart w:id="61" w:name="ref-jusczyk1995infants"/>
      <w:bookmarkEnd w:id="60"/>
      <w:r>
        <w:t xml:space="preserve">Jusczyk, P. W., &amp; Aslin, R. N. (1995). Infants’ detection of the sound patterns of words in fluent speech. </w:t>
      </w:r>
      <w:r>
        <w:rPr>
          <w:i/>
        </w:rPr>
        <w:t>Cognitive Psychology</w:t>
      </w:r>
      <w:r>
        <w:t xml:space="preserve">, </w:t>
      </w:r>
      <w:r>
        <w:rPr>
          <w:i/>
        </w:rPr>
        <w:t>29</w:t>
      </w:r>
      <w:r>
        <w:t>(1), 1–23.</w:t>
      </w:r>
    </w:p>
    <w:p w:rsidR="00162A6B" w:rsidRDefault="00137C55">
      <w:pPr>
        <w:pStyle w:val="Bibliography"/>
      </w:pPr>
      <w:bookmarkStart w:id="62" w:name="ref-kail1991developmental"/>
      <w:bookmarkEnd w:id="61"/>
      <w:r>
        <w:t xml:space="preserve">Kail, R. (1991). Developmental change in speed of processing during childhood and adolescence. </w:t>
      </w:r>
      <w:r>
        <w:rPr>
          <w:i/>
        </w:rPr>
        <w:t>Psychological Bulletin</w:t>
      </w:r>
      <w:r>
        <w:t xml:space="preserve">, </w:t>
      </w:r>
      <w:r>
        <w:rPr>
          <w:i/>
        </w:rPr>
        <w:t>109</w:t>
      </w:r>
      <w:r>
        <w:t>(3), 490–501.</w:t>
      </w:r>
    </w:p>
    <w:p w:rsidR="00162A6B" w:rsidRDefault="00137C55">
      <w:pPr>
        <w:pStyle w:val="Bibliography"/>
      </w:pPr>
      <w:bookmarkStart w:id="63" w:name="ref-kidd2018individual"/>
      <w:bookmarkEnd w:id="62"/>
      <w:r>
        <w:t xml:space="preserve">Kidd, E., Junge, C., Spokes, T., Morrison, L., &amp; Cutler, A. (2018). Individual differences in snfant speech segmentation: Achieving the lexical shift. </w:t>
      </w:r>
      <w:r>
        <w:rPr>
          <w:i/>
        </w:rPr>
        <w:t>Infancy</w:t>
      </w:r>
      <w:r>
        <w:t xml:space="preserve">, </w:t>
      </w:r>
      <w:r>
        <w:rPr>
          <w:i/>
        </w:rPr>
        <w:t>23</w:t>
      </w:r>
      <w:r>
        <w:t>(6), 770–794.</w:t>
      </w:r>
    </w:p>
    <w:p w:rsidR="00162A6B" w:rsidRDefault="00137C55">
      <w:pPr>
        <w:pStyle w:val="Bibliography"/>
      </w:pPr>
      <w:bookmarkStart w:id="64" w:name="ref-lany2008twelve"/>
      <w:bookmarkEnd w:id="63"/>
      <w:r>
        <w:t xml:space="preserve">Lany, J., &amp; Gómez, R. L. (2008). Twelve-month-old infants benefit from prior experience in statistical learning. </w:t>
      </w:r>
      <w:r>
        <w:rPr>
          <w:i/>
        </w:rPr>
        <w:t>Psychological Science</w:t>
      </w:r>
      <w:r>
        <w:t xml:space="preserve">, </w:t>
      </w:r>
      <w:r>
        <w:rPr>
          <w:i/>
        </w:rPr>
        <w:t>19</w:t>
      </w:r>
      <w:r>
        <w:t>(12), 1247–1252.</w:t>
      </w:r>
    </w:p>
    <w:p w:rsidR="00162A6B" w:rsidRDefault="00137C55">
      <w:pPr>
        <w:pStyle w:val="Bibliography"/>
      </w:pPr>
      <w:bookmarkStart w:id="65" w:name="ref-childes"/>
      <w:bookmarkEnd w:id="64"/>
      <w:r>
        <w:t xml:space="preserve">MacWhinney, B. (2000). </w:t>
      </w:r>
      <w:r>
        <w:rPr>
          <w:i/>
        </w:rPr>
        <w:t>The CHILDES project: Tools for analyzing talk</w:t>
      </w:r>
      <w:r>
        <w:t xml:space="preserve"> (3rd ed.). Psychology Press.</w:t>
      </w:r>
    </w:p>
    <w:p w:rsidR="00162A6B" w:rsidRDefault="00137C55">
      <w:pPr>
        <w:pStyle w:val="Bibliography"/>
      </w:pPr>
      <w:bookmarkStart w:id="66" w:name="ref-mannle1992twoyearolds"/>
      <w:bookmarkEnd w:id="65"/>
      <w:r>
        <w:t xml:space="preserve">Mannle, S., Barton, M., &amp; Tomasello, M. (1992). Two-year-olds’ conversations with their mothers and preschool-aged siblings. </w:t>
      </w:r>
      <w:r>
        <w:rPr>
          <w:i/>
        </w:rPr>
        <w:t>First Language</w:t>
      </w:r>
      <w:r>
        <w:t xml:space="preserve">, </w:t>
      </w:r>
      <w:r>
        <w:rPr>
          <w:i/>
        </w:rPr>
        <w:t>12</w:t>
      </w:r>
      <w:r>
        <w:t>(34), 57–71.</w:t>
      </w:r>
    </w:p>
    <w:p w:rsidR="00162A6B" w:rsidRDefault="00137C55">
      <w:pPr>
        <w:pStyle w:val="Bibliography"/>
      </w:pPr>
      <w:bookmarkStart w:id="67" w:name="ref-mareschal2017tracx2"/>
      <w:bookmarkEnd w:id="66"/>
      <w:r>
        <w:lastRenderedPageBreak/>
        <w:t xml:space="preserve">Mareschal, D., &amp; French, R. M. (2017). TRACX2: A connectionist autoencoder using graded chunks to model infant visual statistical learning. </w:t>
      </w:r>
      <w:r>
        <w:rPr>
          <w:i/>
        </w:rPr>
        <w:t>Philosophical Transactions of the Royal Society B: Biological Sciences</w:t>
      </w:r>
      <w:r>
        <w:t xml:space="preserve">, </w:t>
      </w:r>
      <w:r>
        <w:rPr>
          <w:i/>
        </w:rPr>
        <w:t>372</w:t>
      </w:r>
      <w:r>
        <w:t>(1711), 20160057.</w:t>
      </w:r>
    </w:p>
    <w:p w:rsidR="00162A6B" w:rsidRDefault="00137C55">
      <w:pPr>
        <w:pStyle w:val="Bibliography"/>
      </w:pPr>
      <w:bookmarkStart w:id="68" w:name="ref-marr1982vision"/>
      <w:bookmarkEnd w:id="67"/>
      <w:r>
        <w:t xml:space="preserve">Marr, D. (1982). </w:t>
      </w:r>
      <w:r>
        <w:rPr>
          <w:i/>
        </w:rPr>
        <w:t>Vision</w:t>
      </w:r>
      <w:r>
        <w:t>. San Francisco, CA: W. H. Freeman.</w:t>
      </w:r>
    </w:p>
    <w:p w:rsidR="00162A6B" w:rsidRDefault="00137C55">
      <w:pPr>
        <w:pStyle w:val="Bibliography"/>
      </w:pPr>
      <w:bookmarkStart w:id="69" w:name="ref-mccauley2011learning"/>
      <w:bookmarkEnd w:id="68"/>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rsidR="00162A6B" w:rsidRDefault="00137C55">
      <w:pPr>
        <w:pStyle w:val="Bibliography"/>
      </w:pPr>
      <w:bookmarkStart w:id="70" w:name="ref-mccauley2014acquiring"/>
      <w:bookmarkEnd w:id="69"/>
      <w:r>
        <w:t xml:space="preserve">McCauley, S. M., &amp; Christiansen, M. H. (2014a). Acquiring formulaic language: A computational model. </w:t>
      </w:r>
      <w:r>
        <w:rPr>
          <w:i/>
        </w:rPr>
        <w:t>The Mental Lexicon</w:t>
      </w:r>
      <w:r>
        <w:t xml:space="preserve">, </w:t>
      </w:r>
      <w:r>
        <w:rPr>
          <w:i/>
        </w:rPr>
        <w:t>9</w:t>
      </w:r>
      <w:r>
        <w:t>(3), 419–436.</w:t>
      </w:r>
    </w:p>
    <w:p w:rsidR="00162A6B" w:rsidRDefault="00137C55">
      <w:pPr>
        <w:pStyle w:val="Bibliography"/>
      </w:pPr>
      <w:bookmarkStart w:id="71" w:name="ref-mccauley2014reappraising"/>
      <w:bookmarkEnd w:id="70"/>
      <w:r>
        <w:t xml:space="preserve">McCauley, S. M., &amp; Christiansen, M. H. (2014b). Reappraising lexical specificity in children’s early syntactic combinations. </w:t>
      </w:r>
      <w:r>
        <w:rPr>
          <w:i/>
        </w:rPr>
        <w:t>Proceedings of the 36th Annual Meeting of the Cognitive Science Society</w:t>
      </w:r>
      <w:r>
        <w:t>, 1000–1005.</w:t>
      </w:r>
    </w:p>
    <w:p w:rsidR="00162A6B" w:rsidRDefault="00137C55">
      <w:pPr>
        <w:pStyle w:val="Bibliography"/>
      </w:pPr>
      <w:bookmarkStart w:id="72" w:name="ref-mccauley2017computational"/>
      <w:bookmarkEnd w:id="71"/>
      <w:r>
        <w:t xml:space="preserve">McCauley, S. M., &amp; Christiansen, M. H. (2017). Computational investigations of multiword chunks in language learning. </w:t>
      </w:r>
      <w:r>
        <w:rPr>
          <w:i/>
        </w:rPr>
        <w:t>Topics in Cognitive Science</w:t>
      </w:r>
      <w:r>
        <w:t xml:space="preserve">, </w:t>
      </w:r>
      <w:r>
        <w:rPr>
          <w:i/>
        </w:rPr>
        <w:t>9</w:t>
      </w:r>
      <w:r>
        <w:t>(3), 637–652.</w:t>
      </w:r>
    </w:p>
    <w:p w:rsidR="00162A6B" w:rsidRDefault="00137C55">
      <w:pPr>
        <w:pStyle w:val="Bibliography"/>
      </w:pPr>
      <w:bookmarkStart w:id="73" w:name="ref-mccauley2019language"/>
      <w:bookmarkEnd w:id="72"/>
      <w:r>
        <w:t xml:space="preserve">McCauley, S. M., &amp; Christiansen, M. H. (2019a). Language learning as language use: A cross-linguistic model of child language development. </w:t>
      </w:r>
      <w:r>
        <w:rPr>
          <w:i/>
        </w:rPr>
        <w:t>Psychological Review</w:t>
      </w:r>
      <w:r>
        <w:t xml:space="preserve">, </w:t>
      </w:r>
      <w:r>
        <w:rPr>
          <w:i/>
        </w:rPr>
        <w:t>126</w:t>
      </w:r>
      <w:r>
        <w:t>, 1–51.</w:t>
      </w:r>
    </w:p>
    <w:p w:rsidR="00162A6B" w:rsidRDefault="00137C55">
      <w:pPr>
        <w:pStyle w:val="Bibliography"/>
      </w:pPr>
      <w:bookmarkStart w:id="74" w:name="ref-mccauley2019languagelearning"/>
      <w:bookmarkEnd w:id="73"/>
      <w:r>
        <w:t xml:space="preserve">McCauley, S. M., &amp; Christiansen, M. H. (2019b). Language learning as language use: A cross-linguistic model of child language development. </w:t>
      </w:r>
      <w:r>
        <w:rPr>
          <w:i/>
        </w:rPr>
        <w:t>Pyschological Review</w:t>
      </w:r>
      <w:r>
        <w:t xml:space="preserve">, </w:t>
      </w:r>
      <w:r>
        <w:rPr>
          <w:i/>
        </w:rPr>
        <w:t>126</w:t>
      </w:r>
      <w:r>
        <w:t>(1), 1–51.</w:t>
      </w:r>
    </w:p>
    <w:p w:rsidR="00162A6B" w:rsidRDefault="00137C55">
      <w:pPr>
        <w:pStyle w:val="Bibliography"/>
      </w:pPr>
      <w:bookmarkStart w:id="75" w:name="ref-misyak2012statistical"/>
      <w:bookmarkEnd w:id="74"/>
      <w:r>
        <w:t xml:space="preserve">Misyak, J. B., Goldstein, M. H., &amp; Christiansen, M. H. (2012). Statistical-sequential learning in development. </w:t>
      </w:r>
      <w:r>
        <w:rPr>
          <w:i/>
        </w:rPr>
        <w:t>Statistical Learning and Language Acquisition</w:t>
      </w:r>
      <w:r>
        <w:t>, 13–54.</w:t>
      </w:r>
    </w:p>
    <w:p w:rsidR="00162A6B" w:rsidRDefault="00137C55">
      <w:pPr>
        <w:pStyle w:val="Bibliography"/>
      </w:pPr>
      <w:bookmarkStart w:id="76" w:name="ref-monroy2017toddlers"/>
      <w:bookmarkEnd w:id="75"/>
      <w:r>
        <w:lastRenderedPageBreak/>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rsidR="00162A6B" w:rsidRDefault="00137C55">
      <w:pPr>
        <w:pStyle w:val="Bibliography"/>
      </w:pPr>
      <w:bookmarkStart w:id="77" w:name="ref-onnis2013language"/>
      <w:bookmarkEnd w:id="76"/>
      <w:r>
        <w:t xml:space="preserve">Onnis, L., &amp; Thiessen, E. (2013). Language experience changes subsequent learning. </w:t>
      </w:r>
      <w:r>
        <w:rPr>
          <w:i/>
        </w:rPr>
        <w:t>Cognition</w:t>
      </w:r>
      <w:r>
        <w:t xml:space="preserve">, </w:t>
      </w:r>
      <w:r>
        <w:rPr>
          <w:i/>
        </w:rPr>
        <w:t>126</w:t>
      </w:r>
      <w:r>
        <w:t>(2), 268–284.</w:t>
      </w:r>
    </w:p>
    <w:p w:rsidR="00162A6B" w:rsidRDefault="00137C55">
      <w:pPr>
        <w:pStyle w:val="Bibliography"/>
      </w:pPr>
      <w:bookmarkStart w:id="78" w:name="ref-pelucchi2009learning"/>
      <w:bookmarkEnd w:id="77"/>
      <w:r>
        <w:t xml:space="preserve">Pelucchi, B., Hay, J. F., &amp; Saffran, J. R. (2009). Learning in reverse: Eight-month-old infants track backward transitional probabilities. </w:t>
      </w:r>
      <w:r>
        <w:rPr>
          <w:i/>
        </w:rPr>
        <w:t>Cognition</w:t>
      </w:r>
      <w:r>
        <w:t xml:space="preserve">, </w:t>
      </w:r>
      <w:r>
        <w:rPr>
          <w:i/>
        </w:rPr>
        <w:t>113</w:t>
      </w:r>
      <w:r>
        <w:t>(2), 244–247.</w:t>
      </w:r>
    </w:p>
    <w:p w:rsidR="00162A6B" w:rsidRDefault="00137C55">
      <w:pPr>
        <w:pStyle w:val="Bibliography"/>
      </w:pPr>
      <w:bookmarkStart w:id="79" w:name="ref-perruchet2008role"/>
      <w:bookmarkEnd w:id="78"/>
      <w:r>
        <w:t xml:space="preserve">Perruchet, P., &amp; Desaulty, S. (2008). A role for backward transitional probabilities in word segmentation? </w:t>
      </w:r>
      <w:r>
        <w:rPr>
          <w:i/>
        </w:rPr>
        <w:t>Memory &amp; Cognition</w:t>
      </w:r>
      <w:r>
        <w:t xml:space="preserve">, </w:t>
      </w:r>
      <w:r>
        <w:rPr>
          <w:i/>
        </w:rPr>
        <w:t>36</w:t>
      </w:r>
      <w:r>
        <w:t>(7), 1299–1305.</w:t>
      </w:r>
    </w:p>
    <w:p w:rsidR="00162A6B" w:rsidRDefault="00137C55">
      <w:pPr>
        <w:pStyle w:val="Bibliography"/>
      </w:pPr>
      <w:bookmarkStart w:id="80" w:name="ref-perruchet1998parser"/>
      <w:bookmarkEnd w:id="79"/>
      <w:r>
        <w:t xml:space="preserve">Perruchet, P., &amp; Vinter, A. (1998). PARSER: A model for word segmentation. </w:t>
      </w:r>
      <w:r>
        <w:rPr>
          <w:i/>
        </w:rPr>
        <w:t>Journal of Memory and Language</w:t>
      </w:r>
      <w:r>
        <w:t xml:space="preserve">, </w:t>
      </w:r>
      <w:r>
        <w:rPr>
          <w:i/>
        </w:rPr>
        <w:t>39</w:t>
      </w:r>
      <w:r>
        <w:t>(2), 246–263.</w:t>
      </w:r>
    </w:p>
    <w:p w:rsidR="00162A6B" w:rsidRDefault="00137C55">
      <w:pPr>
        <w:pStyle w:val="Bibliography"/>
      </w:pPr>
      <w:bookmarkStart w:id="81" w:name="ref-pickering2013integrated"/>
      <w:bookmarkEnd w:id="80"/>
      <w:r>
        <w:t xml:space="preserve">Pickering, M. J., &amp; Garrod, S. (2013). An integrated theory of language production and comprehension. </w:t>
      </w:r>
      <w:r>
        <w:rPr>
          <w:i/>
        </w:rPr>
        <w:t>Behavioral and Brain Sciences</w:t>
      </w:r>
      <w:r>
        <w:t xml:space="preserve">, </w:t>
      </w:r>
      <w:r>
        <w:rPr>
          <w:i/>
        </w:rPr>
        <w:t>36</w:t>
      </w:r>
      <w:r>
        <w:t>(04), 329–347.</w:t>
      </w:r>
    </w:p>
    <w:p w:rsidR="00162A6B" w:rsidRDefault="00137C55">
      <w:pPr>
        <w:pStyle w:val="Bibliography"/>
      </w:pPr>
      <w:bookmarkStart w:id="82" w:name="ref-raviv2018developmental"/>
      <w:bookmarkEnd w:id="81"/>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rsidR="00162A6B" w:rsidRDefault="00137C55">
      <w:pPr>
        <w:pStyle w:val="Bibliography"/>
      </w:pPr>
      <w:bookmarkStart w:id="83" w:name="ref-R"/>
      <w:bookmarkEnd w:id="82"/>
      <w:r>
        <w:t xml:space="preserve">R Core Team. (2014). </w:t>
      </w:r>
      <w:r>
        <w:rPr>
          <w:i/>
        </w:rPr>
        <w:t>R: A language and environment for statistical computing</w:t>
      </w:r>
      <w:r>
        <w:t xml:space="preserve">. Vienna, Austria: R Foundation for Statistical Computing. Retrieved from </w:t>
      </w:r>
      <w:hyperlink r:id="rId16">
        <w:r>
          <w:rPr>
            <w:rStyle w:val="Hyperlink"/>
          </w:rPr>
          <w:t>http://www.R-project.org/</w:t>
        </w:r>
      </w:hyperlink>
    </w:p>
    <w:p w:rsidR="00162A6B" w:rsidRDefault="00137C55">
      <w:pPr>
        <w:pStyle w:val="Bibliography"/>
      </w:pPr>
      <w:bookmarkStart w:id="84" w:name="ref-rodriguez2009neurophysiological"/>
      <w:bookmarkEnd w:id="83"/>
      <w:r>
        <w:t xml:space="preserve">Rodríguez-Fornells, A., Cunillera, T., Mestres-Missé, A., &amp; Diego-Balaguer, R. de. (2009). Neurophysiological mechanisms involved in language learning in adults. </w:t>
      </w:r>
      <w:r>
        <w:rPr>
          <w:i/>
        </w:rPr>
        <w:t xml:space="preserve">Philosophical </w:t>
      </w:r>
      <w:r>
        <w:rPr>
          <w:i/>
        </w:rPr>
        <w:lastRenderedPageBreak/>
        <w:t>Transactions of the Royal Society of London B: Biological Sciences</w:t>
      </w:r>
      <w:r>
        <w:t xml:space="preserve">, </w:t>
      </w:r>
      <w:r>
        <w:rPr>
          <w:i/>
        </w:rPr>
        <w:t>364</w:t>
      </w:r>
      <w:r>
        <w:t>(1536), 3711–3735.</w:t>
      </w:r>
    </w:p>
    <w:p w:rsidR="00162A6B" w:rsidRDefault="00137C55">
      <w:pPr>
        <w:pStyle w:val="Bibliography"/>
      </w:pPr>
      <w:bookmarkStart w:id="85" w:name="ref-roy2009exploring"/>
      <w:bookmarkEnd w:id="84"/>
      <w:r>
        <w:t xml:space="preserve">Roy, B. C., Frank, M. C., &amp; Roy, D. (2009). Exploring word learning in a high-density longitudinal corpus. </w:t>
      </w:r>
      <w:r>
        <w:rPr>
          <w:i/>
        </w:rPr>
        <w:t>Proceedings of the 31st Annual Meeting of the Cognitive Science Society</w:t>
      </w:r>
      <w:r>
        <w:t>, 2106–2111.</w:t>
      </w:r>
    </w:p>
    <w:p w:rsidR="00162A6B" w:rsidRDefault="00137C55">
      <w:pPr>
        <w:pStyle w:val="Bibliography"/>
      </w:pPr>
      <w:bookmarkStart w:id="86" w:name="ref-saffran2002constraints"/>
      <w:bookmarkEnd w:id="85"/>
      <w:r>
        <w:t xml:space="preserve">Saffran, J. R. (2002). Constraints on statistical language learning. </w:t>
      </w:r>
      <w:r>
        <w:rPr>
          <w:i/>
        </w:rPr>
        <w:t>Journal of Memory and Language</w:t>
      </w:r>
      <w:r>
        <w:t xml:space="preserve">, </w:t>
      </w:r>
      <w:r>
        <w:rPr>
          <w:i/>
        </w:rPr>
        <w:t>47</w:t>
      </w:r>
      <w:r>
        <w:t>(1), 172–196.</w:t>
      </w:r>
    </w:p>
    <w:p w:rsidR="00162A6B" w:rsidRDefault="00137C55">
      <w:pPr>
        <w:pStyle w:val="Bibliography"/>
      </w:pPr>
      <w:bookmarkStart w:id="87" w:name="ref-saffran1996statistical"/>
      <w:bookmarkEnd w:id="86"/>
      <w:r>
        <w:t xml:space="preserve">Saffran, J. R., Aslin, R. N., &amp; Newport, E. L. (1996). Statistical learning by 8-month-old infants. </w:t>
      </w:r>
      <w:r>
        <w:rPr>
          <w:i/>
        </w:rPr>
        <w:t>Science</w:t>
      </w:r>
      <w:r>
        <w:t xml:space="preserve">, </w:t>
      </w:r>
      <w:r>
        <w:rPr>
          <w:i/>
        </w:rPr>
        <w:t>274</w:t>
      </w:r>
      <w:r>
        <w:t>(5294), 1926–1928.</w:t>
      </w:r>
    </w:p>
    <w:p w:rsidR="00162A6B" w:rsidRDefault="00137C55">
      <w:pPr>
        <w:pStyle w:val="Bibliography"/>
      </w:pPr>
      <w:bookmarkStart w:id="88" w:name="ref-saffran1999statistical"/>
      <w:bookmarkEnd w:id="87"/>
      <w:r>
        <w:t xml:space="preserve">Saffran, J. R., Johnson, E. K., Aslin, R. N., &amp; Newport, E. L. (1999). Statistical learning of tone sequences by human infants and adults. </w:t>
      </w:r>
      <w:r>
        <w:rPr>
          <w:i/>
        </w:rPr>
        <w:t>Cognition</w:t>
      </w:r>
      <w:r>
        <w:t xml:space="preserve">, </w:t>
      </w:r>
      <w:r>
        <w:rPr>
          <w:i/>
        </w:rPr>
        <w:t>70</w:t>
      </w:r>
      <w:r>
        <w:t>(1), 27–52.</w:t>
      </w:r>
    </w:p>
    <w:p w:rsidR="00162A6B" w:rsidRDefault="00137C55">
      <w:pPr>
        <w:pStyle w:val="Bibliography"/>
      </w:pPr>
      <w:bookmarkStart w:id="89" w:name="ref-saffran2018infant"/>
      <w:bookmarkEnd w:id="88"/>
      <w:r>
        <w:t xml:space="preserve">Saffran, J. R., &amp; Kirkham, N. Z. (2018). Infant statistical learning. </w:t>
      </w:r>
      <w:r>
        <w:rPr>
          <w:i/>
        </w:rPr>
        <w:t>Annual Review of Psychology</w:t>
      </w:r>
      <w:r>
        <w:t xml:space="preserve">, </w:t>
      </w:r>
      <w:r>
        <w:rPr>
          <w:i/>
        </w:rPr>
        <w:t>69</w:t>
      </w:r>
      <w:r>
        <w:t>, 181–203.</w:t>
      </w:r>
    </w:p>
    <w:p w:rsidR="00162A6B" w:rsidRDefault="00137C55">
      <w:pPr>
        <w:pStyle w:val="Bibliography"/>
      </w:pPr>
      <w:bookmarkStart w:id="90" w:name="ref-saffran1997incidental"/>
      <w:bookmarkEnd w:id="89"/>
      <w:r>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rsidR="00162A6B" w:rsidRDefault="00137C55">
      <w:pPr>
        <w:pStyle w:val="Bibliography"/>
      </w:pPr>
      <w:bookmarkStart w:id="91" w:name="ref-shufaniya2018statistical"/>
      <w:bookmarkEnd w:id="90"/>
      <w:r>
        <w:t xml:space="preserve">Shufaniya, A., &amp; Arnon, I. (2018). Statistical learning is not age-invariant during childhood: Performance improves with age across modality. </w:t>
      </w:r>
      <w:r>
        <w:rPr>
          <w:i/>
        </w:rPr>
        <w:t>Cognitive Science</w:t>
      </w:r>
      <w:r>
        <w:t xml:space="preserve">, </w:t>
      </w:r>
      <w:r>
        <w:rPr>
          <w:i/>
        </w:rPr>
        <w:t>42</w:t>
      </w:r>
      <w:r>
        <w:t>(8), 3100–3115.</w:t>
      </w:r>
    </w:p>
    <w:p w:rsidR="00162A6B" w:rsidRDefault="00137C55">
      <w:pPr>
        <w:pStyle w:val="Bibliography"/>
      </w:pPr>
      <w:bookmarkStart w:id="92" w:name="ref-slone2015infants"/>
      <w:bookmarkEnd w:id="91"/>
      <w:r>
        <w:t xml:space="preserve">Slone, L. K., &amp; Johnson, S. P. (2015). Infants’ statistical learning: 2-and 5-month-olds’ segmentation of continuous visual sequences. </w:t>
      </w:r>
      <w:r>
        <w:rPr>
          <w:i/>
        </w:rPr>
        <w:t>Journal of Experimental Child Psychology</w:t>
      </w:r>
      <w:r>
        <w:t xml:space="preserve">, </w:t>
      </w:r>
      <w:r>
        <w:rPr>
          <w:i/>
        </w:rPr>
        <w:t>133</w:t>
      </w:r>
      <w:r>
        <w:t>, 47–56.</w:t>
      </w:r>
    </w:p>
    <w:p w:rsidR="00162A6B" w:rsidRDefault="00137C55">
      <w:pPr>
        <w:pStyle w:val="Bibliography"/>
      </w:pPr>
      <w:bookmarkStart w:id="93" w:name="ref-snow2017issues"/>
      <w:bookmarkEnd w:id="92"/>
      <w:r>
        <w:lastRenderedPageBreak/>
        <w:t xml:space="preserve">Snow, C. E. (2017). Issues in the study of input: Finetuning, universality, individual and developmental differences, and necessary causes. In P. Fletcher &amp; B. MacWhinney (Eds.), </w:t>
      </w:r>
      <w:r>
        <w:rPr>
          <w:i/>
        </w:rPr>
        <w:t>The handbook of child language</w:t>
      </w:r>
      <w:r>
        <w:t xml:space="preserve"> (pp. 179–193). John Wiley &amp; Sons, Ltd.</w:t>
      </w:r>
    </w:p>
    <w:p w:rsidR="00162A6B" w:rsidRDefault="00137C55">
      <w:pPr>
        <w:pStyle w:val="Bibliography"/>
      </w:pPr>
      <w:bookmarkStart w:id="94" w:name="ref-speer2009prosody"/>
      <w:bookmarkEnd w:id="93"/>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rsidR="00162A6B" w:rsidRDefault="00137C55">
      <w:pPr>
        <w:pStyle w:val="Bibliography"/>
      </w:pPr>
      <w:bookmarkStart w:id="95" w:name="ref-clair2010learning"/>
      <w:bookmarkEnd w:id="94"/>
      <w:r>
        <w:t xml:space="preserve">StClair, M. C., Monaghan, P., &amp; Christiansen, M. H. (2010). Learning grammatical categories from distributional cues: Flexible frames for language acquisition. </w:t>
      </w:r>
      <w:r>
        <w:rPr>
          <w:i/>
        </w:rPr>
        <w:t>Cognition</w:t>
      </w:r>
      <w:r>
        <w:t xml:space="preserve">, </w:t>
      </w:r>
      <w:r>
        <w:rPr>
          <w:i/>
        </w:rPr>
        <w:t>116</w:t>
      </w:r>
      <w:r>
        <w:t>(3), 341–360.</w:t>
      </w:r>
    </w:p>
    <w:p w:rsidR="00162A6B" w:rsidRDefault="00137C55">
      <w:pPr>
        <w:pStyle w:val="Bibliography"/>
      </w:pPr>
      <w:bookmarkStart w:id="96" w:name="ref-teinonen2009statistical"/>
      <w:bookmarkEnd w:id="95"/>
      <w:r>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rsidR="00162A6B" w:rsidRDefault="00137C55">
      <w:pPr>
        <w:pStyle w:val="Bibliography"/>
      </w:pPr>
      <w:bookmarkStart w:id="97" w:name="ref-tomasello2003constructing"/>
      <w:bookmarkEnd w:id="96"/>
      <w:r>
        <w:t xml:space="preserve">Tomasello, M. (2005). </w:t>
      </w:r>
      <w:r>
        <w:rPr>
          <w:i/>
        </w:rPr>
        <w:t>Constructing a language: A usage-based theory of language acquisition</w:t>
      </w:r>
      <w:r>
        <w:t xml:space="preserve"> (1st ed.). Harvard University Press.</w:t>
      </w:r>
    </w:p>
    <w:p w:rsidR="00162A6B" w:rsidRDefault="00137C55">
      <w:pPr>
        <w:pStyle w:val="Bibliography"/>
      </w:pPr>
      <w:bookmarkStart w:id="98" w:name="ref-tomasello2006acquiring"/>
      <w:bookmarkEnd w:id="97"/>
      <w:r>
        <w:t xml:space="preserve">Tomasello, M. (2008). Acquiring linguistic constructions. In Damon W, R. Lerner, D. Kuhn, &amp; R. Siegler (Eds.), </w:t>
      </w:r>
      <w:r>
        <w:rPr>
          <w:i/>
        </w:rPr>
        <w:t>Child and adolescent development</w:t>
      </w:r>
      <w:r>
        <w:t xml:space="preserve"> (pp. 263–297). New York: Wiley.</w:t>
      </w:r>
    </w:p>
    <w:p w:rsidR="00162A6B" w:rsidRDefault="00137C55">
      <w:pPr>
        <w:pStyle w:val="Bibliography"/>
      </w:pPr>
      <w:bookmarkStart w:id="99" w:name="ref-uylings2006development"/>
      <w:bookmarkEnd w:id="98"/>
      <w:r>
        <w:t xml:space="preserve">Uylings, H. B. M. (2006). Development of the human cortex and the concept of “critical” or “sensitive” periods. </w:t>
      </w:r>
      <w:r>
        <w:rPr>
          <w:i/>
        </w:rPr>
        <w:t>Language Learning</w:t>
      </w:r>
      <w:r>
        <w:t xml:space="preserve">, </w:t>
      </w:r>
      <w:r>
        <w:rPr>
          <w:i/>
        </w:rPr>
        <w:t>56</w:t>
      </w:r>
      <w:r>
        <w:t>(1), 59–90.</w:t>
      </w:r>
    </w:p>
    <w:p w:rsidR="00162A6B" w:rsidRDefault="00137C55">
      <w:pPr>
        <w:pStyle w:val="Bibliography"/>
      </w:pPr>
      <w:bookmarkStart w:id="100" w:name="ref-ggplot2"/>
      <w:bookmarkEnd w:id="99"/>
      <w:r>
        <w:t xml:space="preserve">Wickham, H. (2009). </w:t>
      </w:r>
      <w:r>
        <w:rPr>
          <w:i/>
        </w:rPr>
        <w:t>Ggplot2: Elegant graphics for data analysis</w:t>
      </w:r>
      <w:r>
        <w:t xml:space="preserve"> (2nd ed.). Springer Publishing Company, Incorporated.</w:t>
      </w:r>
    </w:p>
    <w:p w:rsidR="00162A6B" w:rsidRDefault="00137C55">
      <w:pPr>
        <w:pStyle w:val="Bibliography"/>
      </w:pPr>
      <w:bookmarkStart w:id="101" w:name="ref-wojcik2013remembering"/>
      <w:bookmarkEnd w:id="100"/>
      <w:r>
        <w:lastRenderedPageBreak/>
        <w:t xml:space="preserve">Wojcik, E. H. (2013). Remembering new words: Integrating early memory development into word learning. </w:t>
      </w:r>
      <w:r>
        <w:rPr>
          <w:i/>
        </w:rPr>
        <w:t>Frontiers in Psychology</w:t>
      </w:r>
      <w:r>
        <w:t xml:space="preserve">, </w:t>
      </w:r>
      <w:r>
        <w:rPr>
          <w:i/>
        </w:rPr>
        <w:t>4</w:t>
      </w:r>
      <w:r>
        <w:t>, 151.</w:t>
      </w:r>
    </w:p>
    <w:p w:rsidR="00162A6B" w:rsidRDefault="00137C55">
      <w:pPr>
        <w:pStyle w:val="Bibliography"/>
      </w:pPr>
      <w:bookmarkStart w:id="102" w:name="ref-yang2016price"/>
      <w:bookmarkEnd w:id="101"/>
      <w:r>
        <w:t xml:space="preserve">Yang, C. (2016). </w:t>
      </w:r>
      <w:r>
        <w:rPr>
          <w:i/>
        </w:rPr>
        <w:t>The price of linguistic productivity: How children learn to break the rules of language</w:t>
      </w:r>
      <w:r>
        <w:t xml:space="preserve"> (1st ed.). MIT Press.</w:t>
      </w:r>
      <w:bookmarkEnd w:id="25"/>
      <w:bookmarkEnd w:id="102"/>
    </w:p>
    <w:sectPr w:rsidR="00162A6B"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8E9" w:rsidRDefault="00B158E9">
      <w:pPr>
        <w:spacing w:before="0" w:after="0" w:line="240" w:lineRule="auto"/>
      </w:pPr>
      <w:r>
        <w:separator/>
      </w:r>
    </w:p>
  </w:endnote>
  <w:endnote w:type="continuationSeparator" w:id="0">
    <w:p w:rsidR="00B158E9" w:rsidRDefault="00B158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8E9" w:rsidRDefault="00B158E9">
      <w:r>
        <w:separator/>
      </w:r>
    </w:p>
  </w:footnote>
  <w:footnote w:type="continuationSeparator" w:id="0">
    <w:p w:rsidR="00B158E9" w:rsidRDefault="00B158E9">
      <w:r>
        <w:continuationSeparator/>
      </w:r>
    </w:p>
  </w:footnote>
  <w:footnote w:id="1">
    <w:p w:rsidR="00162A6B" w:rsidRDefault="00137C55">
      <w:pPr>
        <w:pStyle w:val="FootnoteText"/>
      </w:pPr>
      <w:r>
        <w:rPr>
          <w:rStyle w:val="FootnoteReference"/>
        </w:rPr>
        <w:footnoteRef/>
      </w:r>
      <w:r>
        <w:t xml:space="preserve"> McCauley and Christiansen (2011) handle these cases differently. Our CBL implementation is identical to theirs up to this point. Therefore we also provide sentence reconstruction scores using their original method in the Supplementary Materials.</w:t>
      </w:r>
    </w:p>
  </w:footnote>
  <w:footnote w:id="2">
    <w:p w:rsidR="00162A6B" w:rsidRDefault="00137C55">
      <w:pPr>
        <w:pStyle w:val="FootnoteText"/>
      </w:pPr>
      <w:r>
        <w:rPr>
          <w:rStyle w:val="FootnoteReference"/>
        </w:rPr>
        <w:footnoteRef/>
      </w:r>
      <w:r>
        <w:t xml:space="preserve"> All punctuation marks, grammatical notes, omitted word annotations, shortenings, and assimilations were removed from the utterances, such that only the text representing the spoken words of the utterance remained.</w:t>
      </w:r>
    </w:p>
  </w:footnote>
  <w:footnote w:id="3">
    <w:p w:rsidR="00162A6B" w:rsidRDefault="00137C55">
      <w:pPr>
        <w:pStyle w:val="FootnoteText"/>
      </w:pPr>
      <w:r>
        <w:rPr>
          <w:rStyle w:val="FootnoteReference"/>
        </w:rPr>
        <w:footnoteRef/>
      </w:r>
      <w:r>
        <w:t xml:space="preserve"> accuracy ~ age + (age|child), family = binomial(link = ‘logit’).</w:t>
      </w:r>
    </w:p>
  </w:footnote>
  <w:footnote w:id="4">
    <w:p w:rsidR="00162A6B" w:rsidRDefault="00137C55">
      <w:pPr>
        <w:pStyle w:val="FootnoteText"/>
      </w:pPr>
      <w:r>
        <w:rPr>
          <w:rStyle w:val="FootnoteReference"/>
        </w:rPr>
        <w:footnoteRef/>
      </w:r>
      <w:r>
        <w:t xml:space="preserve"> accuracy ~ centered.age + (centered.age|child).</w:t>
      </w:r>
    </w:p>
  </w:footnote>
  <w:footnote w:id="5">
    <w:p w:rsidR="00162A6B" w:rsidRDefault="00137C55">
      <w:pPr>
        <w:pStyle w:val="FootnoteText"/>
      </w:pPr>
      <w:r>
        <w:rPr>
          <w:rStyle w:val="FootnoteReference"/>
        </w:rPr>
        <w:footnoteRef/>
      </w:r>
      <w: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B158E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137C55" w:rsidP="00572FF5">
    <w:pPr>
      <w:pStyle w:val="Header"/>
      <w:ind w:right="357"/>
    </w:pPr>
    <w:r>
      <w:t>MODELING INPUT STATISTICS IN CHILD SPEECH PRODUCTIONS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137C5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137C55" w:rsidP="00DA0F6A">
    <w:pPr>
      <w:pStyle w:val="Header"/>
      <w:ind w:right="360"/>
    </w:pPr>
    <w:r>
      <w:t>Running head: MODELING INPUT STATISTICS IN CHILD SPEECH PRODUCTIONS</w:t>
    </w:r>
  </w:p>
  <w:p w:rsidR="00CB20D0" w:rsidRPr="00A05772" w:rsidRDefault="00B158E9"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C55"/>
    <w:rsid w:val="00162A6B"/>
    <w:rsid w:val="002140A2"/>
    <w:rsid w:val="003C23B4"/>
    <w:rsid w:val="0041748A"/>
    <w:rsid w:val="004E29B3"/>
    <w:rsid w:val="00590D07"/>
    <w:rsid w:val="00610FDA"/>
    <w:rsid w:val="00745848"/>
    <w:rsid w:val="00784D58"/>
    <w:rsid w:val="008D6863"/>
    <w:rsid w:val="009535DE"/>
    <w:rsid w:val="00AD0644"/>
    <w:rsid w:val="00B158E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40CA9"/>
  <w15:docId w15:val="{20EE6104-6EDA-4340-B3F3-A322F1A1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doi:10.1177/0023830906049002020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doi:10.1525/collabra.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44</Pages>
  <Words>10072</Words>
  <Characters>57417</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Modeling the influence of language input statistics on children’s speech production</vt:lpstr>
      <vt:lpstr>TITLE</vt:lpstr>
    </vt:vector>
  </TitlesOfParts>
  <Manager/>
  <Company/>
  <LinksUpToDate>false</LinksUpToDate>
  <CharactersWithSpaces>67355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cp:lastModifiedBy>Microsoft Office User</cp:lastModifiedBy>
  <cp:revision>6</cp:revision>
  <dcterms:created xsi:type="dcterms:W3CDTF">2020-07-23T15:28:00Z</dcterms:created>
  <dcterms:modified xsi:type="dcterms:W3CDTF">2020-07-23T18:05:00Z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