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FF0F" w14:textId="1BBC19FB" w:rsidR="00697AEE" w:rsidRDefault="00000000" w:rsidP="00CE6E1D">
      <w:pPr>
        <w:spacing w:after="348" w:line="259" w:lineRule="auto"/>
        <w:ind w:left="-5" w:right="15"/>
        <w:jc w:val="center"/>
      </w:pPr>
      <w:r>
        <w:rPr>
          <w:b/>
        </w:rPr>
        <w:t>Abstract</w:t>
      </w:r>
    </w:p>
    <w:p w14:paraId="4E70ACDA" w14:textId="77777777" w:rsidR="00697AEE" w:rsidRDefault="00000000">
      <w:pPr>
        <w:ind w:left="-5" w:right="15"/>
      </w:pPr>
      <w:r>
        <w:t xml:space="preserve">The language </w:t>
      </w:r>
      <w:r>
        <w:rPr>
          <w:i/>
        </w:rPr>
        <w:t xml:space="preserve">in vivo </w:t>
      </w:r>
      <w:r>
        <w:t xml:space="preserve">framework pushes for a substantially deeper view of children’s linguistic input, with the </w:t>
      </w:r>
      <w:proofErr w:type="gramStart"/>
      <w:r>
        <w:t>ultimate aim</w:t>
      </w:r>
      <w:proofErr w:type="gramEnd"/>
      <w:r>
        <w:t xml:space="preserve"> of building sustainable and tangible links between theoretical models of language development and families’ everyday lived experiences. Children’s language experiences constrain theoretical models in ways that may illuminate universal learning biases. However, more than that, these experiences provide a staggering array of test cases and demonstrate the stage-setting effects of situational, familial, and societal context on language use and uptake. Centering on activity type as an </w:t>
      </w:r>
      <w:proofErr w:type="spellStart"/>
      <w:r>
        <w:t>entrypoint</w:t>
      </w:r>
      <w:proofErr w:type="spellEnd"/>
      <w:r>
        <w:t xml:space="preserve"> into "context", I motivate and outline an approach that draws on both big- and small-data methods to generate grounded, informative, and representative descriptions of children’s input. Minimally, this approach complements recent work that uses more superficial/aggregated measures. Maximally, an </w:t>
      </w:r>
      <w:r>
        <w:rPr>
          <w:i/>
        </w:rPr>
        <w:t xml:space="preserve">in vivo </w:t>
      </w:r>
      <w:r>
        <w:t>approach could inspire new questions, insights, and innovations to broaden the coverage and application of theoretical models to individual communities and families.</w:t>
      </w:r>
    </w:p>
    <w:p w14:paraId="53A40F32" w14:textId="74C05FC2" w:rsidR="00697AEE" w:rsidRDefault="00000000">
      <w:pPr>
        <w:ind w:left="-15" w:right="15" w:firstLine="720"/>
      </w:pPr>
      <w:r>
        <w:rPr>
          <w:i/>
        </w:rPr>
        <w:t xml:space="preserve">Keywords: </w:t>
      </w:r>
      <w:r>
        <w:t>activity, language development, input, daylong recordings, LENA, culture</w:t>
      </w:r>
    </w:p>
    <w:p w14:paraId="1326910A" w14:textId="5622899A" w:rsidR="0017008B" w:rsidRDefault="0017008B">
      <w:pPr>
        <w:ind w:left="-15" w:right="15" w:firstLine="720"/>
      </w:pPr>
      <w:r>
        <w:rPr>
          <w:i/>
        </w:rPr>
        <w:t>Word count:</w:t>
      </w:r>
      <w:r>
        <w:t xml:space="preserve"> 3230</w:t>
      </w:r>
    </w:p>
    <w:p w14:paraId="41634B34" w14:textId="77777777" w:rsidR="00CE6E1D" w:rsidRDefault="00CE6E1D">
      <w:pPr>
        <w:spacing w:after="0" w:line="240" w:lineRule="auto"/>
        <w:ind w:left="0" w:firstLine="0"/>
        <w:rPr>
          <w:b/>
        </w:rPr>
      </w:pPr>
      <w:r>
        <w:rPr>
          <w:b/>
        </w:rPr>
        <w:br w:type="page"/>
      </w:r>
    </w:p>
    <w:p w14:paraId="57E7CF7F" w14:textId="1A3D6BF5" w:rsidR="00697AEE" w:rsidRDefault="00000000">
      <w:pPr>
        <w:spacing w:after="312" w:line="265" w:lineRule="auto"/>
        <w:ind w:right="8"/>
        <w:jc w:val="center"/>
      </w:pPr>
      <w:r>
        <w:rPr>
          <w:b/>
        </w:rPr>
        <w:lastRenderedPageBreak/>
        <w:t xml:space="preserve">Learning language </w:t>
      </w:r>
      <w:r>
        <w:rPr>
          <w:b/>
          <w:i/>
        </w:rPr>
        <w:t>in vivo</w:t>
      </w:r>
    </w:p>
    <w:p w14:paraId="73102F46" w14:textId="77777777" w:rsidR="00697AEE" w:rsidRDefault="00000000">
      <w:pPr>
        <w:pStyle w:val="Heading1"/>
        <w:ind w:right="0"/>
      </w:pPr>
      <w:r>
        <w:t>Introduction</w:t>
      </w:r>
    </w:p>
    <w:p w14:paraId="4EF27F19" w14:textId="77777777" w:rsidR="00697AEE" w:rsidRDefault="00000000">
      <w:pPr>
        <w:ind w:left="-15" w:right="15" w:firstLine="720"/>
      </w:pPr>
      <w:r>
        <w:t>How do children learn language? The last half century has seen immense growth in the data, methods, and theory attempting to answer this question (</w:t>
      </w:r>
      <w:proofErr w:type="spellStart"/>
      <w:r>
        <w:t>Slobin</w:t>
      </w:r>
      <w:proofErr w:type="spellEnd"/>
      <w:r>
        <w:t xml:space="preserve">, 2014). Developmental psycholinguistics, for its part, has arrived at a common, three-piece framework for conceptualizing the core puzzle: input, processor, and output. In one piece of this framework, children are exposed to language patterns in their ambient environment. In another piece, this linguistic “input” is processed via a variety of cognitive mechanisms supporting learning. The third and final piece recapitulates input patterns in the child’s own linguistic behaviors, </w:t>
      </w:r>
      <w:proofErr w:type="gramStart"/>
      <w:r>
        <w:t>i.e.</w:t>
      </w:r>
      <w:proofErr w:type="gramEnd"/>
      <w:r>
        <w:t xml:space="preserve"> the “output” (e.g., </w:t>
      </w:r>
      <w:proofErr w:type="spellStart"/>
      <w:r>
        <w:t>Kachergis</w:t>
      </w:r>
      <w:proofErr w:type="spellEnd"/>
      <w:r>
        <w:t xml:space="preserve"> et al., 2022).</w:t>
      </w:r>
    </w:p>
    <w:p w14:paraId="4802C6DC" w14:textId="77777777" w:rsidR="00697AEE" w:rsidRDefault="00000000">
      <w:pPr>
        <w:ind w:left="-15" w:right="15" w:firstLine="720"/>
      </w:pPr>
      <w:r>
        <w:t xml:space="preserve">Undergirding each piece of this framework are ways of thinking that are taken for granted, but </w:t>
      </w:r>
      <w:proofErr w:type="gramStart"/>
      <w:r>
        <w:t>actually reflect</w:t>
      </w:r>
      <w:proofErr w:type="gramEnd"/>
      <w:r>
        <w:t xml:space="preserve"> disciplinary and historical artifacts relevant to psychological inquiry. For example, practices of hypothesis-driven design purposefully constrain the knowledge we create. We strip down and operationalize complex phenomena </w:t>
      </w:r>
      <w:proofErr w:type="gramStart"/>
      <w:r>
        <w:t>in order to</w:t>
      </w:r>
      <w:proofErr w:type="gramEnd"/>
      <w:r>
        <w:t xml:space="preserve"> reliably quantify, justifiably compare, and adequately control their presence in our datasets. These disciplinary traditions reflect both our field’s origins and where it is </w:t>
      </w:r>
      <w:proofErr w:type="gramStart"/>
      <w:r>
        <w:t>headed, and</w:t>
      </w:r>
      <w:proofErr w:type="gramEnd"/>
      <w:r>
        <w:t xml:space="preserve"> have resulted in an impressive slate of findings about how language development proceeds in some contexts. We have forged an epistemic path that, by its very trajectory, implies sensible ways forward.</w:t>
      </w:r>
    </w:p>
    <w:p w14:paraId="2D93CB87" w14:textId="77777777" w:rsidR="00697AEE" w:rsidRDefault="00000000">
      <w:pPr>
        <w:spacing w:after="171"/>
        <w:ind w:left="-15" w:right="15" w:firstLine="720"/>
      </w:pPr>
      <w:r>
        <w:t xml:space="preserve">Among these ways forward are approaches to further illuminate the nature of the linguistic input and processor, including: a continued focus on child-directed language from adults, automated measures of language behavior, and (relatedly) indices of linguistic behavior that scale to whole days or longer. As I will argue, these approaches have been tremendously fruitful in recent years, but present a highly limited view of the learner and therefore limited depth of the theories that arise from them. To keep a grip on the individual phenomena that add up to the wonder of childhood language learning, we require a complementary approach. </w:t>
      </w:r>
      <w:r>
        <w:lastRenderedPageBreak/>
        <w:t>In this paper I gaze away from the beaten path, toward other possible approaches, to identify shortcomings among our otherwise-sensible ways forward.</w:t>
      </w:r>
    </w:p>
    <w:p w14:paraId="19F3B936" w14:textId="1C2190F0" w:rsidR="00697AEE" w:rsidRDefault="00000000">
      <w:pPr>
        <w:spacing w:after="354"/>
        <w:ind w:left="-15" w:right="15" w:firstLine="720"/>
      </w:pPr>
      <w:r>
        <w:t xml:space="preserve">I propose an approach that explicitly engages with context rather than attempting to average it away. I will argue that analytical approaches to understanding linguistic input and </w:t>
      </w:r>
      <w:r w:rsidR="00CE6E1D">
        <w:t>linguistic</w:t>
      </w:r>
      <w:r>
        <w:t xml:space="preserve"> knowledge need to center around language users’ interactional and cultural contexts </w:t>
      </w:r>
      <w:proofErr w:type="gramStart"/>
      <w:r>
        <w:t>in order to</w:t>
      </w:r>
      <w:proofErr w:type="gramEnd"/>
      <w:r>
        <w:t xml:space="preserve"> make meaningful connections between standard theoretical frameworks and families’ everyday lived experiences. In what follows I review how we have typically measured input, then I sketch an alternative, language </w:t>
      </w:r>
      <w:r>
        <w:rPr>
          <w:i/>
        </w:rPr>
        <w:t xml:space="preserve">in vivo </w:t>
      </w:r>
      <w:r>
        <w:t>approach, closing with what we stand to gain.</w:t>
      </w:r>
    </w:p>
    <w:p w14:paraId="361504D0" w14:textId="77777777" w:rsidR="00697AEE" w:rsidRDefault="00000000">
      <w:pPr>
        <w:pStyle w:val="Heading1"/>
        <w:spacing w:after="383"/>
        <w:ind w:left="-5" w:right="0"/>
        <w:jc w:val="left"/>
      </w:pPr>
      <w:r>
        <w:t>Past and current approaches to linguistic input</w:t>
      </w:r>
    </w:p>
    <w:p w14:paraId="5F66823E" w14:textId="77777777" w:rsidR="00697AEE" w:rsidRDefault="00000000">
      <w:pPr>
        <w:spacing w:after="291"/>
        <w:ind w:left="-15" w:right="15" w:firstLine="720"/>
      </w:pPr>
      <w:r>
        <w:t xml:space="preserve">I first address three facets of the current approach to analyzing language input; all three need further consideration under a language </w:t>
      </w:r>
      <w:r>
        <w:rPr>
          <w:i/>
        </w:rPr>
        <w:t xml:space="preserve">in vivo </w:t>
      </w:r>
      <w:r>
        <w:t xml:space="preserve">approach: (1) which </w:t>
      </w:r>
      <w:r>
        <w:rPr>
          <w:i/>
        </w:rPr>
        <w:t xml:space="preserve">sources </w:t>
      </w:r>
      <w:r>
        <w:t xml:space="preserve">of input we include, (2) what is captured in recordings, and (3) how we </w:t>
      </w:r>
      <w:r>
        <w:rPr>
          <w:i/>
        </w:rPr>
        <w:t xml:space="preserve">measure </w:t>
      </w:r>
      <w:r>
        <w:t>input.</w:t>
      </w:r>
    </w:p>
    <w:p w14:paraId="7A9F66D3" w14:textId="77777777" w:rsidR="00697AEE" w:rsidRDefault="00000000">
      <w:pPr>
        <w:pStyle w:val="Heading2"/>
        <w:spacing w:after="385"/>
        <w:ind w:left="-5"/>
      </w:pPr>
      <w:r>
        <w:t>Sources of input</w:t>
      </w:r>
    </w:p>
    <w:p w14:paraId="5038B8D8" w14:textId="77777777" w:rsidR="00697AEE" w:rsidRDefault="00000000">
      <w:pPr>
        <w:ind w:left="-15" w:right="15" w:firstLine="720"/>
      </w:pPr>
      <w:r>
        <w:t xml:space="preserve">We have come to </w:t>
      </w:r>
      <w:proofErr w:type="gramStart"/>
      <w:r>
        <w:t>a general consensus</w:t>
      </w:r>
      <w:proofErr w:type="gramEnd"/>
      <w:r>
        <w:t xml:space="preserve"> that child-directed language</w:t>
      </w:r>
      <w:r>
        <w:rPr>
          <w:vertAlign w:val="superscript"/>
        </w:rPr>
        <w:footnoteReference w:id="1"/>
      </w:r>
      <w:r>
        <w:rPr>
          <w:vertAlign w:val="superscript"/>
        </w:rPr>
        <w:t xml:space="preserve"> </w:t>
      </w:r>
      <w:r>
        <w:t>from adults (CDL</w:t>
      </w:r>
      <w:r>
        <w:rPr>
          <w:vertAlign w:val="subscript"/>
        </w:rPr>
        <w:t>A</w:t>
      </w:r>
      <w:r>
        <w:t xml:space="preserve">) is the linguistic input </w:t>
      </w:r>
      <w:r>
        <w:rPr>
          <w:i/>
        </w:rPr>
        <w:t>par excellence</w:t>
      </w:r>
      <w:r>
        <w:t>. CDL</w:t>
      </w:r>
      <w:r>
        <w:rPr>
          <w:vertAlign w:val="subscript"/>
        </w:rPr>
        <w:t xml:space="preserve">A </w:t>
      </w:r>
      <w:r>
        <w:t xml:space="preserve">is associated with earlier and cumulatively larger gains in vocabulary and speed of lexical </w:t>
      </w:r>
      <w:proofErr w:type="gramStart"/>
      <w:r>
        <w:t>retrieval, and</w:t>
      </w:r>
      <w:proofErr w:type="gramEnd"/>
      <w:r>
        <w:t xml:space="preserve"> has implications for some aspects of syntactic development (e.g., Bates &amp; Goodman, 1999; Frank et al., 2021). That said, other sources of input (e.g., observable talk between others) likely make critical contributions beyond vocabulary (e.g., </w:t>
      </w:r>
      <w:proofErr w:type="spellStart"/>
      <w:r>
        <w:t>Benigno</w:t>
      </w:r>
      <w:proofErr w:type="spellEnd"/>
      <w:r>
        <w:t xml:space="preserve"> et al., 2007; </w:t>
      </w:r>
      <w:proofErr w:type="spellStart"/>
      <w:r>
        <w:t>Foushee</w:t>
      </w:r>
      <w:proofErr w:type="spellEnd"/>
      <w:r>
        <w:t xml:space="preserve"> et al., 2021; </w:t>
      </w:r>
      <w:proofErr w:type="spellStart"/>
      <w:r>
        <w:t>Oshima-Takane</w:t>
      </w:r>
      <w:proofErr w:type="spellEnd"/>
      <w:r>
        <w:t>, 1988).</w:t>
      </w:r>
    </w:p>
    <w:p w14:paraId="68CD3E35" w14:textId="3CFE9D94" w:rsidR="00697AEE" w:rsidRDefault="00000000" w:rsidP="004A3717">
      <w:pPr>
        <w:ind w:left="-15" w:right="15" w:firstLine="720"/>
      </w:pPr>
      <w:r>
        <w:lastRenderedPageBreak/>
        <w:t>CDL itself varies immensely between linguistic communities in form and function. As linguistic anthropologists have warned: in many communities, language directed to young children is infrequent, multi-party, and/or more focused on social practices than referential communication. The mere presence of CDL</w:t>
      </w:r>
      <w:r>
        <w:rPr>
          <w:vertAlign w:val="subscript"/>
        </w:rPr>
        <w:t xml:space="preserve">A </w:t>
      </w:r>
      <w:r>
        <w:t>in and of itself also doesn’t guarantee the scaffolding features presumed to make it helpful in the first place (e.g., McClay et al., 2022). For example, the pitch variation prototypically associated with CDL</w:t>
      </w:r>
      <w:r>
        <w:rPr>
          <w:vertAlign w:val="subscript"/>
        </w:rPr>
        <w:t xml:space="preserve">A </w:t>
      </w:r>
      <w:r>
        <w:t>is especially salient in North American English, even compared to other English varieties, but also other languages, such as Lebanese Arabic, K’iche, and Tseltal (</w:t>
      </w:r>
      <w:proofErr w:type="spellStart"/>
      <w:r>
        <w:t>Farran</w:t>
      </w:r>
      <w:proofErr w:type="spellEnd"/>
      <w:r>
        <w:t xml:space="preserve"> et al., 2016; Pye, 1986; </w:t>
      </w:r>
      <w:proofErr w:type="spellStart"/>
      <w:r>
        <w:t>Soderstrom</w:t>
      </w:r>
      <w:proofErr w:type="spellEnd"/>
      <w:r>
        <w:t xml:space="preserve"> et al., 2021). Even within North American contexts,</w:t>
      </w:r>
      <w:r w:rsidR="004A3717">
        <w:t xml:space="preserve"> </w:t>
      </w:r>
      <w:r>
        <w:t xml:space="preserve">CDL use is moderated by the age, gender, and </w:t>
      </w:r>
      <w:proofErr w:type="spellStart"/>
      <w:r>
        <w:t>affect</w:t>
      </w:r>
      <w:proofErr w:type="spellEnd"/>
      <w:r>
        <w:t xml:space="preserve"> of its producer (e.g., </w:t>
      </w:r>
      <w:proofErr w:type="spellStart"/>
      <w:r>
        <w:t>Bergelson</w:t>
      </w:r>
      <w:proofErr w:type="spellEnd"/>
      <w:r>
        <w:t>,</w:t>
      </w:r>
      <w:r w:rsidR="004A3717">
        <w:t xml:space="preserve"> </w:t>
      </w:r>
      <w:r>
        <w:t>Casillas, et al., 2019; Kitamura et al., 2001).</w:t>
      </w:r>
    </w:p>
    <w:p w14:paraId="24D875BC" w14:textId="48D4F779" w:rsidR="00697AEE" w:rsidRDefault="00000000">
      <w:pPr>
        <w:spacing w:after="399"/>
        <w:ind w:left="-15" w:right="15" w:firstLine="720"/>
      </w:pPr>
      <w:r>
        <w:t>Singular emphasis on CDL</w:t>
      </w:r>
      <w:r>
        <w:rPr>
          <w:vertAlign w:val="subscript"/>
        </w:rPr>
        <w:t xml:space="preserve">A </w:t>
      </w:r>
      <w:r>
        <w:t xml:space="preserve">misses a critical insight: </w:t>
      </w:r>
      <w:r>
        <w:rPr>
          <w:i/>
        </w:rPr>
        <w:t xml:space="preserve">how </w:t>
      </w:r>
      <w:r>
        <w:t xml:space="preserve">others talk to children provides essential information about their expected roles in society, including how they are expected to use language. For example, </w:t>
      </w:r>
      <w:proofErr w:type="spellStart"/>
      <w:r>
        <w:t>EuroAmerican</w:t>
      </w:r>
      <w:proofErr w:type="spellEnd"/>
      <w:r>
        <w:t xml:space="preserve"> caregivers tend to linguistically interpret and respond to their infants’ expressions of negative and positive inner experience. Such behavior positions infants as individuals with mature psychological states and creates a foundation for </w:t>
      </w:r>
      <w:proofErr w:type="gramStart"/>
      <w:r>
        <w:t>children’s</w:t>
      </w:r>
      <w:proofErr w:type="gramEnd"/>
      <w:r>
        <w:t xml:space="preserve"> continued outward sharing of their inner experiences (Gaskins, 2006). These caregivers use CDL</w:t>
      </w:r>
      <w:r>
        <w:rPr>
          <w:vertAlign w:val="subscript"/>
        </w:rPr>
        <w:t xml:space="preserve">A </w:t>
      </w:r>
      <w:r>
        <w:t>to socially center children and to pull their inner experiences outward. In contrast, Yucatec Mayan children are encouraged to be more conservative in verbally expressing inner experiences. A lack of CDL</w:t>
      </w:r>
      <w:r>
        <w:rPr>
          <w:vertAlign w:val="subscript"/>
        </w:rPr>
        <w:t xml:space="preserve">A </w:t>
      </w:r>
      <w:r>
        <w:t>in response to infant discomfort is an important socialization tool; caregivers rely on bodily contact to swiftly and effectively, but nonverbally, attend to infants’ negative inner experiences (Gaskins, 2006). In sum, we must engage with sources of linguistic input beyond CDL</w:t>
      </w:r>
      <w:r>
        <w:rPr>
          <w:vertAlign w:val="subscript"/>
        </w:rPr>
        <w:t>A</w:t>
      </w:r>
      <w:r>
        <w:t xml:space="preserve">, but also critically examine how input is distributed across different sources </w:t>
      </w:r>
      <w:proofErr w:type="gramStart"/>
      <w:r>
        <w:t>in order to</w:t>
      </w:r>
      <w:proofErr w:type="gramEnd"/>
      <w:r>
        <w:t xml:space="preserve"> chart the contours of the learner’s linguistic environment.</w:t>
      </w:r>
    </w:p>
    <w:p w14:paraId="1F297827" w14:textId="77777777" w:rsidR="00697AEE" w:rsidRDefault="00000000">
      <w:pPr>
        <w:pStyle w:val="Heading2"/>
        <w:ind w:left="-5"/>
      </w:pPr>
      <w:r>
        <w:lastRenderedPageBreak/>
        <w:t>Capturing language in recordings</w:t>
      </w:r>
    </w:p>
    <w:p w14:paraId="55CA8EBB" w14:textId="638DEAAE" w:rsidR="00697AEE" w:rsidRDefault="00000000" w:rsidP="004A3717">
      <w:pPr>
        <w:spacing w:after="153"/>
        <w:ind w:left="-15" w:right="15" w:firstLine="720"/>
      </w:pPr>
      <w:r>
        <w:t>Our methods for recording child language environments have seen significant change in recent decades. The foundation of our field rests on careful analysis of naturalistic interactions, recorded for relatively short periods at the child’s home (or in a laboratory playroom) and then painstakingly annotated before analysis. Then, the LENA system</w:t>
      </w:r>
      <w:r w:rsidR="004A3717">
        <w:t xml:space="preserve"> </w:t>
      </w:r>
      <w:r>
        <w:t>(Greenwood et al., 2011) launched our field into the domain of big data research with its</w:t>
      </w:r>
      <w:r w:rsidR="004A3717">
        <w:t xml:space="preserve"> </w:t>
      </w:r>
      <w:r>
        <w:t>16-hour audio-recording capacity and software for automated acoustic analysis.</w:t>
      </w:r>
      <w:r>
        <w:rPr>
          <w:vertAlign w:val="superscript"/>
        </w:rPr>
        <w:footnoteReference w:id="2"/>
      </w:r>
      <w:r>
        <w:rPr>
          <w:vertAlign w:val="superscript"/>
        </w:rPr>
        <w:t xml:space="preserve"> </w:t>
      </w:r>
      <w:r>
        <w:t>While the LENA system has been an enormous boon to the field, the associated cost of going ‘big’ is a loss of depth. The critical issues are that (a) the automated system produces highly limited information about the language used</w:t>
      </w:r>
      <w:r>
        <w:rPr>
          <w:vertAlign w:val="superscript"/>
        </w:rPr>
        <w:footnoteReference w:id="3"/>
      </w:r>
      <w:r>
        <w:rPr>
          <w:vertAlign w:val="superscript"/>
        </w:rPr>
        <w:t xml:space="preserve"> </w:t>
      </w:r>
      <w:r>
        <w:t>and (b) the data are audio only (e.g., no gaze or gestural data). This trade-off between scale and depth should make one wary of how feasibility and convenience vs. theoretical ideals weigh into study design.</w:t>
      </w:r>
    </w:p>
    <w:p w14:paraId="56D27579" w14:textId="77777777" w:rsidR="00697AEE" w:rsidRDefault="00000000">
      <w:pPr>
        <w:spacing w:after="234"/>
        <w:ind w:left="-15" w:right="15" w:firstLine="720"/>
      </w:pPr>
      <w:r>
        <w:t xml:space="preserve">Some heroic efforts to annotate daylong data in more detail have demonstrated both the richness of what could be studied were it manually annotated (e.g., </w:t>
      </w:r>
      <w:proofErr w:type="spellStart"/>
      <w:r>
        <w:t>Bergelson</w:t>
      </w:r>
      <w:proofErr w:type="spellEnd"/>
      <w:r>
        <w:t xml:space="preserve">, </w:t>
      </w:r>
      <w:proofErr w:type="spellStart"/>
      <w:r>
        <w:t>Amatuni</w:t>
      </w:r>
      <w:proofErr w:type="spellEnd"/>
      <w:r>
        <w:t xml:space="preserve">, et al., 2019; Montag, 2020) and the potential downfalls of relying exclusively on the automated output (e.g., </w:t>
      </w:r>
      <w:proofErr w:type="spellStart"/>
      <w:r>
        <w:t>Ferjan</w:t>
      </w:r>
      <w:proofErr w:type="spellEnd"/>
      <w:r>
        <w:t xml:space="preserve"> Ramírez et al., 2021). Encouragingly, </w:t>
      </w:r>
      <w:proofErr w:type="gramStart"/>
      <w:r>
        <w:t>a number of</w:t>
      </w:r>
      <w:proofErr w:type="gramEnd"/>
      <w:r>
        <w:t xml:space="preserve"> protocols and guides for manual annotation of daylong data have started to emerge, some with an eye toward </w:t>
      </w:r>
      <w:r>
        <w:lastRenderedPageBreak/>
        <w:t xml:space="preserve">maximizing efficiency (Casillas et al., 2017; </w:t>
      </w:r>
      <w:proofErr w:type="spellStart"/>
      <w:r>
        <w:t>Cychosz</w:t>
      </w:r>
      <w:proofErr w:type="spellEnd"/>
      <w:r>
        <w:t xml:space="preserve"> et al., 2021; Mendoza &amp; </w:t>
      </w:r>
      <w:proofErr w:type="spellStart"/>
      <w:r>
        <w:t>Fausey</w:t>
      </w:r>
      <w:proofErr w:type="spellEnd"/>
      <w:r>
        <w:t>, 2021). Researchers going down this path can typically expect significant investments of time and money in doing this work (Figure 2). They payoff, however, is worthwhile: languages, embedded in their social and material contexts, offer an inspiring array of interrelated phenomena whose learning processes must be explained. We will need to inspect the input (and output) closely to capture most of them.</w:t>
      </w:r>
    </w:p>
    <w:p w14:paraId="62F17F1E" w14:textId="77777777" w:rsidR="00697AEE" w:rsidRDefault="00000000">
      <w:pPr>
        <w:pStyle w:val="Heading2"/>
        <w:spacing w:after="336"/>
        <w:ind w:left="-5"/>
      </w:pPr>
      <w:r>
        <w:t>Measures of input</w:t>
      </w:r>
    </w:p>
    <w:p w14:paraId="65A68BC5" w14:textId="77777777" w:rsidR="00697AEE" w:rsidRDefault="00000000">
      <w:pPr>
        <w:spacing w:after="130"/>
        <w:ind w:left="-15" w:right="15" w:firstLine="720"/>
      </w:pPr>
      <w:r>
        <w:t xml:space="preserve">Transcribed data are unbeatable in demonstrating how children </w:t>
      </w:r>
      <w:proofErr w:type="gramStart"/>
      <w:r>
        <w:t>actually encounter</w:t>
      </w:r>
      <w:proofErr w:type="gramEnd"/>
      <w:r>
        <w:t xml:space="preserve"> linguistic units (e.g., words, gestures, syntactic structures, communicative acts, etc.), making resources such as CHILDES (</w:t>
      </w:r>
      <w:proofErr w:type="spellStart"/>
      <w:r>
        <w:t>MacWhinney</w:t>
      </w:r>
      <w:proofErr w:type="spellEnd"/>
      <w:r>
        <w:t>, 2000, an open online database of naturalistic child language data) indispensable. However, rather than looking at individual phenomena, many researchers choose to examine input in the aggregate. This approach typically treats individual input phenomena as bundled together within higher-level constructs such as CDL or CDL</w:t>
      </w:r>
      <w:r>
        <w:rPr>
          <w:vertAlign w:val="subscript"/>
        </w:rPr>
        <w:t xml:space="preserve">A </w:t>
      </w:r>
      <w:r>
        <w:t xml:space="preserve">input rate (e.g., </w:t>
      </w:r>
      <w:proofErr w:type="spellStart"/>
      <w:r>
        <w:t>Bergelson</w:t>
      </w:r>
      <w:proofErr w:type="spellEnd"/>
      <w:r>
        <w:t xml:space="preserve">, </w:t>
      </w:r>
      <w:proofErr w:type="spellStart"/>
      <w:r>
        <w:t>Amatuni</w:t>
      </w:r>
      <w:proofErr w:type="spellEnd"/>
      <w:r>
        <w:t xml:space="preserve">, et al., 2019; Bunce et al., 2020; Casillas et al., 2020, 2021; </w:t>
      </w:r>
      <w:proofErr w:type="spellStart"/>
      <w:r>
        <w:t>Cristia</w:t>
      </w:r>
      <w:proofErr w:type="spellEnd"/>
      <w:r>
        <w:t xml:space="preserve"> et al., 2019; Greenwood et al., 2011; Sperry et al., 2019).</w:t>
      </w:r>
    </w:p>
    <w:p w14:paraId="414CF7A8" w14:textId="77777777" w:rsidR="00697AEE" w:rsidRDefault="00000000">
      <w:pPr>
        <w:spacing w:after="133"/>
        <w:ind w:left="-15" w:right="15" w:firstLine="720"/>
      </w:pPr>
      <w:r>
        <w:t>While useful for broad models of language development, such high-level measures guarantee little in explaining how children acquire the specific linguistic phenomena relevant for their language communities (e.g., how to inflect a verb in minimally vs. highly verb-inflecting languages, like English/Mandarin vs. Inuktitut/</w:t>
      </w:r>
      <w:proofErr w:type="spellStart"/>
      <w:r>
        <w:t>Murrinhpatha</w:t>
      </w:r>
      <w:proofErr w:type="spellEnd"/>
      <w:r>
        <w:t xml:space="preserve">). While we </w:t>
      </w:r>
      <w:r>
        <w:rPr>
          <w:i/>
        </w:rPr>
        <w:t xml:space="preserve">can </w:t>
      </w:r>
      <w:r>
        <w:t xml:space="preserve">characterize child language development as a general process, theory must also cover the many specific and interacting subprocesses encompassed by this general process. Precisely </w:t>
      </w:r>
      <w:r>
        <w:rPr>
          <w:i/>
        </w:rPr>
        <w:t xml:space="preserve">because </w:t>
      </w:r>
      <w:r>
        <w:t xml:space="preserve">these subprocesses may be realized differently across diverse contexts, they provide useful theoretical levers into the nature of the learner’s cognitive toolkit. Diversifying the </w:t>
      </w:r>
      <w:proofErr w:type="gramStart"/>
      <w:r>
        <w:t>way</w:t>
      </w:r>
      <w:proofErr w:type="gramEnd"/>
      <w:r>
        <w:t xml:space="preserve"> we measure the input is essential to understanding how these general and specific processes of learning interrelate.</w:t>
      </w:r>
    </w:p>
    <w:p w14:paraId="40C5C1DF" w14:textId="77777777" w:rsidR="00697AEE" w:rsidRDefault="00000000">
      <w:pPr>
        <w:spacing w:after="389"/>
        <w:ind w:left="-15" w:right="15" w:firstLine="720"/>
      </w:pPr>
      <w:r>
        <w:lastRenderedPageBreak/>
        <w:t xml:space="preserve">Research using aggregate input rates has, instead, recently focused on a different issue, which is how to examine ‘quality’ over ‘quantity’ input (e.g., </w:t>
      </w:r>
      <w:proofErr w:type="spellStart"/>
      <w:r>
        <w:t>Masek</w:t>
      </w:r>
      <w:proofErr w:type="spellEnd"/>
      <w:r>
        <w:t xml:space="preserve"> et al., 2021). The apparent tension between ‘quality’ and ‘quantity’, however, may ultimately be a red herring. Some ‘quantity’ measures (e.g., CDL</w:t>
      </w:r>
      <w:r>
        <w:rPr>
          <w:vertAlign w:val="subscript"/>
        </w:rPr>
        <w:t>A</w:t>
      </w:r>
      <w:r>
        <w:t xml:space="preserve">) are likely to simultaneously capture multiple input characteristics that are canonically considered to be of high ‘quality’. Further, many of these same characteristics, e.g., contingent turn-taking with the key child, are likely culturally specific in what they do for the child’s budding competence as a member of society, and thereby cannot be analyzed as a unitary feature of the input across populations. The bigger issue at stake seems to be: how can we focus our research on meaningful linguistic practices in the child’s environment while </w:t>
      </w:r>
      <w:r>
        <w:rPr>
          <w:i/>
        </w:rPr>
        <w:t xml:space="preserve">also </w:t>
      </w:r>
      <w:r>
        <w:t>maximizing the naturalness, reliability, and generalizability of our findings? Not taking this question seriously can lead to limited or even misleading findings, as I will demonstrate.</w:t>
      </w:r>
    </w:p>
    <w:p w14:paraId="7DAB59AE" w14:textId="77777777" w:rsidR="00697AEE" w:rsidRDefault="00000000">
      <w:pPr>
        <w:pStyle w:val="Heading2"/>
        <w:ind w:left="-5"/>
      </w:pPr>
      <w:r>
        <w:t>Universals in the macro and potential dead ends</w:t>
      </w:r>
    </w:p>
    <w:p w14:paraId="319C67F7" w14:textId="77777777" w:rsidR="00697AEE" w:rsidRDefault="00000000">
      <w:pPr>
        <w:spacing w:after="26"/>
        <w:ind w:left="-15" w:right="15" w:firstLine="720"/>
      </w:pPr>
      <w:r>
        <w:t xml:space="preserve">The wide application of aggregate- or indicator-style language measures can reveal crosslinguistic and </w:t>
      </w:r>
      <w:proofErr w:type="spellStart"/>
      <w:r>
        <w:t>crosscultural</w:t>
      </w:r>
      <w:proofErr w:type="spellEnd"/>
      <w:r>
        <w:t xml:space="preserve"> patterns in language development (i.e., potential universals). For example, similar factors predict parent-reported early vocabulary across a diverse group of languages. This suggests that there are a handful of biases that similarly impact learning across these groups (Frank et al., 2021). In general, however, when aggregate measures are exported from their original context (e.g., from urban industrial societies to rural subsistence ones), there is a significant risk of discovering consistencies that overestimate similarity and underestimate diversity.</w:t>
      </w:r>
    </w:p>
    <w:p w14:paraId="584D3D08" w14:textId="77777777" w:rsidR="00697AEE" w:rsidRDefault="00000000">
      <w:pPr>
        <w:spacing w:after="26"/>
        <w:ind w:left="-15" w:right="15" w:firstLine="720"/>
      </w:pPr>
      <w:r>
        <w:t xml:space="preserve">Recent work using manual measures of CDL input rates across diverse cultural contexts stumbled upon one such possible universal—children under 3;0 encounter infrequent CDL, an average of </w:t>
      </w:r>
      <w:r>
        <w:rPr>
          <w:i/>
        </w:rPr>
        <w:t>∼</w:t>
      </w:r>
      <w:r>
        <w:t xml:space="preserve">2.5–5 min/hour, across their daytime hours (Bunce et al., 2020; Casillas et al., 2020, 2021). This macro-level consistency obscures tremendous </w:t>
      </w:r>
      <w:proofErr w:type="spellStart"/>
      <w:r>
        <w:t>crosscultural</w:t>
      </w:r>
      <w:proofErr w:type="spellEnd"/>
      <w:r>
        <w:t xml:space="preserve"> variation in how </w:t>
      </w:r>
      <w:r>
        <w:lastRenderedPageBreak/>
        <w:t xml:space="preserve">caregivers deploy CDL. For example, ethnographic work characterizes caregiver child language use as child-centric on </w:t>
      </w:r>
      <w:proofErr w:type="spellStart"/>
      <w:r>
        <w:t>Rossel</w:t>
      </w:r>
      <w:proofErr w:type="spellEnd"/>
      <w:r>
        <w:t xml:space="preserve"> Island (Papua New Guinea) and non-child-centric in a Tseltal Mayan community (Mexico) (Brown, 2014; see also </w:t>
      </w:r>
      <w:proofErr w:type="spellStart"/>
      <w:r>
        <w:t>Shneidman</w:t>
      </w:r>
      <w:proofErr w:type="spellEnd"/>
      <w:r>
        <w:t xml:space="preserve"> and Goldin-Meadow, 2012). Yet these communities appear nearly identical in CDL input rates at scale (Casillas et al., 2020, 2021). Where have the differences gone? The differences, I argue, will be primarily visible at the micro scale of moment-to-moment interaction. Across individual interactions, we should see the differences via the people children engage with and the things they do with language. At the macro scale, however, averaging a single measure over a wide variety of contexts and scenarios, we cannot see these differences.</w:t>
      </w:r>
    </w:p>
    <w:p w14:paraId="61A89E58" w14:textId="7856672C" w:rsidR="00697AEE" w:rsidRDefault="00CE6E1D" w:rsidP="00CE6E1D">
      <w:pPr>
        <w:spacing w:after="745"/>
        <w:ind w:left="0" w:right="15" w:firstLine="705"/>
      </w:pPr>
      <w:r>
        <w:t xml:space="preserve">Both macro and micro scales provide informative angles on language development. </w:t>
      </w:r>
      <w:r w:rsidR="00000000">
        <w:t xml:space="preserve">The macro scale tends to highlight the processes that relate to robust, high-level phenomena occurring across groups. The micro scale is equally important in its ability to reveal how the content and style of the input leads to children ultimately resembling other language users in their community. Without centering </w:t>
      </w:r>
      <w:proofErr w:type="gramStart"/>
      <w:r w:rsidR="00000000">
        <w:t>both of these</w:t>
      </w:r>
      <w:proofErr w:type="gramEnd"/>
      <w:r w:rsidR="00000000">
        <w:t xml:space="preserve"> perspectives, models of child language will not reach their full theoretical potential. In this vein I propose the language </w:t>
      </w:r>
      <w:r w:rsidR="00000000">
        <w:rPr>
          <w:i/>
        </w:rPr>
        <w:t xml:space="preserve">in vivo </w:t>
      </w:r>
      <w:r w:rsidR="00000000">
        <w:t>approach to studying children’s linguistic experiences.</w:t>
      </w:r>
    </w:p>
    <w:p w14:paraId="1CCF773A" w14:textId="77777777" w:rsidR="00697AEE" w:rsidRDefault="00000000">
      <w:pPr>
        <w:pStyle w:val="Heading1"/>
        <w:spacing w:after="657"/>
        <w:ind w:right="0"/>
      </w:pPr>
      <w:r>
        <w:t xml:space="preserve">The language </w:t>
      </w:r>
      <w:r>
        <w:rPr>
          <w:i/>
        </w:rPr>
        <w:t xml:space="preserve">in vivo </w:t>
      </w:r>
      <w:r>
        <w:t>approach</w:t>
      </w:r>
    </w:p>
    <w:p w14:paraId="5E1DBD11" w14:textId="77777777" w:rsidR="00697AEE" w:rsidRDefault="00000000">
      <w:pPr>
        <w:spacing w:after="75"/>
        <w:ind w:left="-15" w:right="15" w:firstLine="720"/>
      </w:pPr>
      <w:r>
        <w:t xml:space="preserve">The core intuition behind the </w:t>
      </w:r>
      <w:r>
        <w:rPr>
          <w:i/>
        </w:rPr>
        <w:t xml:space="preserve">in vivo </w:t>
      </w:r>
      <w:r>
        <w:t xml:space="preserve">approach is that we cannot extract language acquisition from the social context of everyday life. The way in which children learn to attend to and produce language is entwined with the things they do with and around others. Even from the bottom-up perspective of internalizing the statistical properties of the surrounding language, linguistic representations and processes are not fenced off from social experiences (e.g., when to use “blankie” vs. “blanket”). Children do not just learn </w:t>
      </w:r>
      <w:proofErr w:type="gramStart"/>
      <w:r>
        <w:t>language, but</w:t>
      </w:r>
      <w:proofErr w:type="gramEnd"/>
      <w:r>
        <w:t xml:space="preserve"> learn it to communicate. What they talk about and to whom is shaped by local social and cultural context </w:t>
      </w:r>
      <w:r>
        <w:lastRenderedPageBreak/>
        <w:t xml:space="preserve">(e.g., Bruner, 1985; Ochs &amp; Schieffelin, 1984). The theoretical impact of these ideas is that the language learning system must be adaptive and highly flexible. While there may be core mechanisms that work similarly across most children (e.g., some types of statistical learning), others likely vary depending on context (e.g., propensity to learn from others’ interactions; Rogoff et al., 2003) or may be specialized to certain domains (e.g., words vs. facts vs. phonology, etc.; </w:t>
      </w:r>
      <w:proofErr w:type="spellStart"/>
      <w:r>
        <w:t>Foushee</w:t>
      </w:r>
      <w:proofErr w:type="spellEnd"/>
      <w:r>
        <w:t xml:space="preserve"> et al., 2021; Knightly et al., 2003).</w:t>
      </w:r>
    </w:p>
    <w:p w14:paraId="35EB1C94" w14:textId="25C0F567" w:rsidR="00697AEE" w:rsidRDefault="00000000">
      <w:pPr>
        <w:ind w:left="-15" w:right="15" w:firstLine="720"/>
      </w:pPr>
      <w:r>
        <w:t>How can we take a truly socially centered approach to studying early language experience? I propose we start by scaling down the child’s social language environment to a more bite-sized phenomenon that we can reliably identify and that has meaningful similarities and differences across diverse homes: activity context.</w:t>
      </w:r>
    </w:p>
    <w:p w14:paraId="769331FA" w14:textId="77777777" w:rsidR="00CE6E1D" w:rsidRPr="00CE6E1D" w:rsidRDefault="00CE6E1D">
      <w:pPr>
        <w:ind w:left="-15" w:right="15" w:firstLine="720"/>
        <w:rPr>
          <w:sz w:val="12"/>
          <w:szCs w:val="12"/>
        </w:rPr>
      </w:pPr>
    </w:p>
    <w:p w14:paraId="17B426B8" w14:textId="77777777" w:rsidR="00697AEE" w:rsidRDefault="00000000">
      <w:pPr>
        <w:pStyle w:val="Heading1"/>
        <w:spacing w:after="365"/>
        <w:ind w:left="-5" w:right="0"/>
        <w:jc w:val="left"/>
      </w:pPr>
      <w:r>
        <w:t>Activity context</w:t>
      </w:r>
    </w:p>
    <w:p w14:paraId="753E2939" w14:textId="77777777" w:rsidR="00697AEE" w:rsidRDefault="00000000">
      <w:pPr>
        <w:spacing w:after="260"/>
        <w:ind w:left="-15" w:right="15" w:firstLine="720"/>
      </w:pPr>
      <w:r>
        <w:t xml:space="preserve">Activity as an entryway into language study—indeed as an entryway to language </w:t>
      </w:r>
      <w:r>
        <w:rPr>
          <w:i/>
        </w:rPr>
        <w:t xml:space="preserve">development </w:t>
      </w:r>
      <w:r>
        <w:t xml:space="preserve">by the child—has deep theoretical roots in our field (e.g., Bruner, 1985). We know well that activity affects the language children encounter and use with others (e.g., </w:t>
      </w:r>
      <w:proofErr w:type="spellStart"/>
      <w:r>
        <w:t>Glas</w:t>
      </w:r>
      <w:proofErr w:type="spellEnd"/>
      <w:r>
        <w:t xml:space="preserve"> et al., 2018; Tamis-</w:t>
      </w:r>
      <w:proofErr w:type="spellStart"/>
      <w:r>
        <w:t>LeMonda</w:t>
      </w:r>
      <w:proofErr w:type="spellEnd"/>
      <w:r>
        <w:t xml:space="preserve"> et al., 2019). The language </w:t>
      </w:r>
      <w:r>
        <w:rPr>
          <w:i/>
        </w:rPr>
        <w:t xml:space="preserve">in vivo </w:t>
      </w:r>
      <w:r>
        <w:t xml:space="preserve">approach builds on this work with one main difference: it demands explicit exploration of how the studied activities are meaningful to participants in their situated context and the broader societal, research, and applied contexts used to frame the study. By holding ourselves accountable for the </w:t>
      </w:r>
      <w:r>
        <w:rPr>
          <w:i/>
        </w:rPr>
        <w:t xml:space="preserve">local </w:t>
      </w:r>
      <w:r>
        <w:t xml:space="preserve">relevance of studied activities, researchers can greatly enrich their work, grounding broad theories in children’s moment-to-moment, contextually relevant language experiences. That is, their language experience </w:t>
      </w:r>
      <w:r>
        <w:rPr>
          <w:i/>
        </w:rPr>
        <w:t xml:space="preserve">in vivo </w:t>
      </w:r>
      <w:r>
        <w:t>(see Figure 1). Two challenges in taking this approach are how to identify activities and what to do with activity information.</w:t>
      </w:r>
    </w:p>
    <w:p w14:paraId="6CC05B60" w14:textId="77777777" w:rsidR="00697AEE" w:rsidRDefault="00000000">
      <w:pPr>
        <w:pStyle w:val="Heading2"/>
        <w:spacing w:after="358"/>
        <w:ind w:left="-5"/>
      </w:pPr>
      <w:r>
        <w:lastRenderedPageBreak/>
        <w:t>Identifying activities</w:t>
      </w:r>
    </w:p>
    <w:p w14:paraId="2A7E72D4" w14:textId="77777777" w:rsidR="00697AEE" w:rsidRDefault="00000000">
      <w:pPr>
        <w:spacing w:after="42"/>
        <w:ind w:left="-15" w:right="15" w:firstLine="720"/>
      </w:pPr>
      <w:r>
        <w:t xml:space="preserve">I focus on long-form naturalistic data (e.g., LENA recordings) because: (1) multiple activity contexts, often overlapping, are captured from the child’s perspective as they go throughout their day and (2) there are no set conventions for finding and choosing activity types (see Mendoza &amp; </w:t>
      </w:r>
      <w:proofErr w:type="spellStart"/>
      <w:r>
        <w:t>Fausey</w:t>
      </w:r>
      <w:proofErr w:type="spellEnd"/>
      <w:r>
        <w:t>, 2021, for more)</w:t>
      </w:r>
      <w:r>
        <w:rPr>
          <w:vertAlign w:val="superscript"/>
        </w:rPr>
        <w:footnoteReference w:id="4"/>
      </w:r>
      <w:r>
        <w:t xml:space="preserve">, leaving room to test out a preliminary language </w:t>
      </w:r>
      <w:r>
        <w:rPr>
          <w:i/>
        </w:rPr>
        <w:t xml:space="preserve">in vivo </w:t>
      </w:r>
      <w:r>
        <w:t>approach.</w:t>
      </w:r>
    </w:p>
    <w:p w14:paraId="7982A1E8" w14:textId="267AE196" w:rsidR="00697AEE" w:rsidRDefault="00000000" w:rsidP="004A3717">
      <w:pPr>
        <w:ind w:left="-15" w:right="15" w:firstLine="720"/>
      </w:pPr>
      <w:r>
        <w:t xml:space="preserve">Researchers using an </w:t>
      </w:r>
      <w:r>
        <w:rPr>
          <w:i/>
        </w:rPr>
        <w:t xml:space="preserve">in vivo </w:t>
      </w:r>
      <w:r>
        <w:t>approach should elaborate the purpose and relevance of the studied activities according to participants. Therefore, even just identifying activities may require significant investment, e.g., manual review/annotation of existing data and engagement with research outside one’s typical domain. Familiar activities like</w:t>
      </w:r>
      <w:r w:rsidR="004A3717">
        <w:t xml:space="preserve"> </w:t>
      </w:r>
      <w:r>
        <w:t>‘free play’ and ‘book reading’ are not exempted. They meaningfully differ in their relevance and familiarity across communities, and researchers should explicitly address how these activities are understood by participants, along with implications for data interpretation.</w:t>
      </w:r>
      <w:r w:rsidR="004A3717">
        <w:t xml:space="preserve"> </w:t>
      </w:r>
      <w:r>
        <w:t>The proposal is not to wholesale manually annotate recordings prior to data analysis. Beginning with hypotheses and/or selective attention to certain activity types is encouraged—just together with clear data- or community-internal evidence of activity relevance and explicit recognition of the limits of generalization.</w:t>
      </w:r>
    </w:p>
    <w:p w14:paraId="238A36EC" w14:textId="77777777" w:rsidR="00697AEE" w:rsidRDefault="00000000">
      <w:pPr>
        <w:spacing w:after="400"/>
        <w:ind w:left="-15" w:right="15" w:firstLine="720"/>
      </w:pPr>
      <w:r>
        <w:t xml:space="preserve">I give two concrete examples of how to identify activities in line with an </w:t>
      </w:r>
      <w:r>
        <w:rPr>
          <w:i/>
        </w:rPr>
        <w:t xml:space="preserve">in vivo </w:t>
      </w:r>
      <w:r>
        <w:t xml:space="preserve">approach. The first is to begin with a theme that implies relevance to </w:t>
      </w:r>
      <w:proofErr w:type="gramStart"/>
      <w:r>
        <w:t>participants, but</w:t>
      </w:r>
      <w:proofErr w:type="gramEnd"/>
      <w:r>
        <w:t xml:space="preserve"> requires local specification. For example, and perhaps particularly useful for infant data, asking about how language is (and isn’t) used by caregivers in dealing with infants’ bodily essentials: eating, sleeping, crying, bathing, and dealing with urine/feces. A combination of observational </w:t>
      </w:r>
      <w:r>
        <w:lastRenderedPageBreak/>
        <w:t xml:space="preserve">experience and familiarity with the participant community is critical to identifying the specific activities relevant to this theme. A second way to begin is to set out particular goals and/or roles of interest, e.g., typical daily journeys, spontaneous informal pedagogy, encouraging socially appropriate behavior, </w:t>
      </w:r>
      <w:proofErr w:type="gramStart"/>
      <w:r>
        <w:t>etc..</w:t>
      </w:r>
      <w:proofErr w:type="gramEnd"/>
      <w:r>
        <w:t xml:space="preserve"> Again, the specific relevant activities will differ according to context. Counting activities in the US look rather different from recitation of kin ancestry on </w:t>
      </w:r>
      <w:proofErr w:type="spellStart"/>
      <w:r>
        <w:t>Rossel</w:t>
      </w:r>
      <w:proofErr w:type="spellEnd"/>
      <w:r>
        <w:t xml:space="preserve"> Island, Papua New Guinea, but comparison of the two provides a more truthful examination of informal pedagogy in each context than would exclusively examining one of those activities across both (e.g., asking US parents to engage in kin ancestry pedagogy with their kids; Figure 1).</w:t>
      </w:r>
    </w:p>
    <w:p w14:paraId="0869B61B" w14:textId="77777777" w:rsidR="00697AEE" w:rsidRDefault="00000000">
      <w:pPr>
        <w:pStyle w:val="Heading2"/>
        <w:ind w:left="-5"/>
      </w:pPr>
      <w:r>
        <w:t>Using activity information</w:t>
      </w:r>
    </w:p>
    <w:p w14:paraId="5A7BF064" w14:textId="77777777" w:rsidR="00697AEE" w:rsidRDefault="00000000">
      <w:pPr>
        <w:ind w:left="-15" w:right="15" w:firstLine="720"/>
      </w:pPr>
      <w:r>
        <w:t xml:space="preserve">Once collected, what do we do with these recordings? If the goal is to arrive at contextually validated findings that are sensitive to both local frames and broader discourses, there is </w:t>
      </w:r>
      <w:proofErr w:type="gramStart"/>
      <w:r>
        <w:t>really just</w:t>
      </w:r>
      <w:proofErr w:type="gramEnd"/>
      <w:r>
        <w:t xml:space="preserve"> one answer: detailed inspection and annotation of the data. Such work is </w:t>
      </w:r>
      <w:proofErr w:type="spellStart"/>
      <w:r>
        <w:t>is</w:t>
      </w:r>
      <w:proofErr w:type="spellEnd"/>
      <w:r>
        <w:t xml:space="preserve"> costly (Figure 2), but the returns are invaluable in highlighting critical gaps in current knowledge and potential ways forward for bridging them. An added benefit is that the data can typically be used again in future work, especially if they are made available to others (e.g., </w:t>
      </w:r>
      <w:proofErr w:type="spellStart"/>
      <w:r>
        <w:t>MacWhinney</w:t>
      </w:r>
      <w:proofErr w:type="spellEnd"/>
      <w:r>
        <w:t>, 2000).</w:t>
      </w:r>
    </w:p>
    <w:p w14:paraId="320EAA4F" w14:textId="68830B43" w:rsidR="00697AEE" w:rsidRDefault="00000000" w:rsidP="00F976ED">
      <w:pPr>
        <w:ind w:left="-15" w:right="15" w:firstLine="720"/>
      </w:pPr>
      <w:r>
        <w:t>While such work is descriptive, it contributes substantively to theory. I mention here three examples of theoretical work that would be done best on the basis of an activity-centered approach: (a) how lexical development is guided by everyday activities at both the domain level (e.g., automobiles, foods) and at the feature level (e.g., deixis, animacy, register); (b) the conditions under which spontaneous informal pedagogy occurs and what material and interactional frames it involves; and (c) how societal expectations about children as language users shapes what children attend to and (re)produce during</w:t>
      </w:r>
      <w:r w:rsidR="00F976ED">
        <w:t xml:space="preserve"> </w:t>
      </w:r>
      <w:r>
        <w:t>interaction.</w:t>
      </w:r>
    </w:p>
    <w:p w14:paraId="77A879BA" w14:textId="77777777" w:rsidR="00697AEE" w:rsidRDefault="00000000">
      <w:pPr>
        <w:spacing w:after="411"/>
        <w:ind w:left="-15" w:right="15" w:firstLine="720"/>
      </w:pPr>
      <w:r>
        <w:lastRenderedPageBreak/>
        <w:t xml:space="preserve">For each of these topics, there would still be significant need for further examination via experimental and computational work, elaborating on the proposed processes. The extended language </w:t>
      </w:r>
      <w:r>
        <w:rPr>
          <w:i/>
        </w:rPr>
        <w:t xml:space="preserve">in vivo </w:t>
      </w:r>
      <w:r>
        <w:t>challenge will be to find innovative ways to keep more controlled investigations like experiments in touch with the features of interaction that made the descriptive work meaningful in the first place.</w:t>
      </w:r>
    </w:p>
    <w:p w14:paraId="1552DD64" w14:textId="77777777" w:rsidR="00697AEE" w:rsidRDefault="00000000">
      <w:pPr>
        <w:pStyle w:val="Heading1"/>
        <w:spacing w:after="452"/>
        <w:ind w:right="0"/>
      </w:pPr>
      <w:r>
        <w:t>What we stand to gain</w:t>
      </w:r>
    </w:p>
    <w:p w14:paraId="270412E1" w14:textId="77777777" w:rsidR="00697AEE" w:rsidRDefault="00000000">
      <w:pPr>
        <w:spacing w:after="13" w:line="402" w:lineRule="auto"/>
        <w:ind w:left="-15" w:right="-7" w:firstLine="720"/>
        <w:jc w:val="both"/>
      </w:pPr>
      <w:r>
        <w:t xml:space="preserve">The purpose of the language </w:t>
      </w:r>
      <w:r>
        <w:rPr>
          <w:i/>
        </w:rPr>
        <w:t xml:space="preserve">in vivo </w:t>
      </w:r>
      <w:r>
        <w:t xml:space="preserve">approach is to celebrate continuing advances in our ‘big data’ ability to document developmental environments without losing sight of what children and their interactants </w:t>
      </w:r>
      <w:proofErr w:type="gramStart"/>
      <w:r>
        <w:t xml:space="preserve">actually </w:t>
      </w:r>
      <w:r>
        <w:rPr>
          <w:i/>
        </w:rPr>
        <w:t>do</w:t>
      </w:r>
      <w:proofErr w:type="gramEnd"/>
      <w:r>
        <w:rPr>
          <w:i/>
        </w:rPr>
        <w:t xml:space="preserve"> </w:t>
      </w:r>
      <w:r>
        <w:t xml:space="preserve">with language. I have envisioned this work from the perspective of </w:t>
      </w:r>
      <w:r>
        <w:rPr>
          <w:b/>
        </w:rPr>
        <w:t>(positionality statement redacted for review)</w:t>
      </w:r>
      <w:r>
        <w:t xml:space="preserve">. But the </w:t>
      </w:r>
      <w:r>
        <w:rPr>
          <w:i/>
        </w:rPr>
        <w:t xml:space="preserve">in vivo </w:t>
      </w:r>
      <w:r>
        <w:t xml:space="preserve">framework, firmly grounded in families’ everyday social desires and obligations, is also useful from other research perspectives, including those that aim to document and/or support language communities undergoing change (de León, 2019) or those explicitly intervening on parent or child behavior (see Rowe &amp; </w:t>
      </w:r>
      <w:proofErr w:type="spellStart"/>
      <w:r>
        <w:t>Weisleder</w:t>
      </w:r>
      <w:proofErr w:type="spellEnd"/>
      <w:r>
        <w:t>, 2020, for a review).</w:t>
      </w:r>
    </w:p>
    <w:p w14:paraId="62551B80" w14:textId="77777777" w:rsidR="00697AEE" w:rsidRDefault="00000000">
      <w:pPr>
        <w:spacing w:after="240"/>
        <w:ind w:left="-15" w:right="15" w:firstLine="720"/>
      </w:pPr>
      <w:r>
        <w:t xml:space="preserve">While it is tempting to scientifically isolate language as a symbolic system (viz. grammar and lexicon) away from social systems, we would then limit our ability to draw direct connections between the theories we construct and families’ everyday lived experiences. Theory that is constructed without context (or in ignorance of its implicit context) will not touch ground naturally or equally when applied in diverse domains. To ordinary folks, language is how one trades in social, cultural, and world knowledge. People primarily use language to do things with others, even the smallest language users. Not just leveraging but </w:t>
      </w:r>
      <w:r>
        <w:rPr>
          <w:i/>
        </w:rPr>
        <w:t xml:space="preserve">embedding </w:t>
      </w:r>
      <w:r>
        <w:t>social context at the heart of our work would pay off immensely in these respects.</w:t>
      </w:r>
    </w:p>
    <w:p w14:paraId="760CEE90" w14:textId="77777777" w:rsidR="00697AEE" w:rsidRDefault="00000000">
      <w:pPr>
        <w:spacing w:after="312" w:line="265" w:lineRule="auto"/>
        <w:jc w:val="center"/>
      </w:pPr>
      <w:r>
        <w:rPr>
          <w:b/>
        </w:rPr>
        <w:t>Acknowledgements</w:t>
      </w:r>
    </w:p>
    <w:p w14:paraId="69290E2F" w14:textId="77777777" w:rsidR="00697AEE" w:rsidRDefault="00000000">
      <w:pPr>
        <w:spacing w:line="259" w:lineRule="auto"/>
        <w:ind w:left="730" w:right="15"/>
      </w:pPr>
      <w:r>
        <w:t>Redacted for review.</w:t>
      </w:r>
      <w:r>
        <w:br w:type="page"/>
      </w:r>
    </w:p>
    <w:p w14:paraId="67121549" w14:textId="77777777" w:rsidR="00697AEE" w:rsidRDefault="00000000">
      <w:pPr>
        <w:pStyle w:val="Heading1"/>
        <w:ind w:right="0"/>
      </w:pPr>
      <w:r>
        <w:lastRenderedPageBreak/>
        <w:t>References</w:t>
      </w:r>
    </w:p>
    <w:p w14:paraId="3BC78728" w14:textId="478EF3AB" w:rsidR="00697AEE" w:rsidRDefault="00000000">
      <w:pPr>
        <w:spacing w:after="13" w:line="402" w:lineRule="auto"/>
        <w:ind w:left="715" w:right="-7" w:hanging="730"/>
        <w:jc w:val="both"/>
      </w:pPr>
      <w:r>
        <w:t xml:space="preserve">Bang, J., </w:t>
      </w:r>
      <w:proofErr w:type="spellStart"/>
      <w:r>
        <w:t>Kachergis</w:t>
      </w:r>
      <w:proofErr w:type="spellEnd"/>
      <w:r>
        <w:t xml:space="preserve">, G., </w:t>
      </w:r>
      <w:proofErr w:type="spellStart"/>
      <w:r>
        <w:t>Weisleder</w:t>
      </w:r>
      <w:proofErr w:type="spellEnd"/>
      <w:r>
        <w:t xml:space="preserve">, A., &amp; Marchman, V. (2021). An automated classifier for child-directed speech from LENA recordings. </w:t>
      </w:r>
      <w:r w:rsidR="00CE6E1D">
        <w:rPr>
          <w:i/>
        </w:rPr>
        <w:t>P</w:t>
      </w:r>
      <w:r>
        <w:rPr>
          <w:i/>
        </w:rPr>
        <w:t xml:space="preserve">resented at the 46th </w:t>
      </w:r>
      <w:r w:rsidR="00CE6E1D">
        <w:rPr>
          <w:i/>
        </w:rPr>
        <w:t>B</w:t>
      </w:r>
      <w:r>
        <w:rPr>
          <w:i/>
        </w:rPr>
        <w:t xml:space="preserve">oston </w:t>
      </w:r>
      <w:r w:rsidR="00CE6E1D">
        <w:rPr>
          <w:i/>
        </w:rPr>
        <w:t>U</w:t>
      </w:r>
      <w:r>
        <w:rPr>
          <w:i/>
        </w:rPr>
        <w:t xml:space="preserve">niversity </w:t>
      </w:r>
      <w:r w:rsidR="00CE6E1D">
        <w:rPr>
          <w:i/>
        </w:rPr>
        <w:t>C</w:t>
      </w:r>
      <w:r>
        <w:rPr>
          <w:i/>
        </w:rPr>
        <w:t xml:space="preserve">onference on </w:t>
      </w:r>
      <w:r w:rsidR="00CE6E1D">
        <w:rPr>
          <w:i/>
        </w:rPr>
        <w:t>L</w:t>
      </w:r>
      <w:r>
        <w:rPr>
          <w:i/>
        </w:rPr>
        <w:t xml:space="preserve">anguage </w:t>
      </w:r>
      <w:r w:rsidR="00CE6E1D">
        <w:rPr>
          <w:i/>
        </w:rPr>
        <w:t>D</w:t>
      </w:r>
      <w:r>
        <w:rPr>
          <w:i/>
        </w:rPr>
        <w:t>evelopment</w:t>
      </w:r>
      <w:r>
        <w:t>.</w:t>
      </w:r>
    </w:p>
    <w:p w14:paraId="7098EA1C" w14:textId="77777777" w:rsidR="00697AEE" w:rsidRDefault="00000000">
      <w:pPr>
        <w:ind w:left="705" w:right="15" w:hanging="720"/>
      </w:pPr>
      <w:r>
        <w:t xml:space="preserve">Bates, E., &amp; Goodman, J. C. (1999). On the emergence of grammar from the lexicon. </w:t>
      </w:r>
      <w:r>
        <w:rPr>
          <w:i/>
        </w:rPr>
        <w:t xml:space="preserve">The emergence of language </w:t>
      </w:r>
      <w:r>
        <w:t>(pp. 29–80). Mahwah, NJ: Lawrence Erlbaum.</w:t>
      </w:r>
    </w:p>
    <w:p w14:paraId="355A398C" w14:textId="77777777" w:rsidR="00697AEE" w:rsidRDefault="00000000">
      <w:pPr>
        <w:ind w:left="705" w:right="15" w:hanging="720"/>
      </w:pPr>
      <w:proofErr w:type="spellStart"/>
      <w:r>
        <w:t>Benigno</w:t>
      </w:r>
      <w:proofErr w:type="spellEnd"/>
      <w:r>
        <w:t xml:space="preserve">, J. P., Clark, L., &amp; Farrar, M. J. (2007). Three is not always a crowd: Contexts of joint attention and language. </w:t>
      </w:r>
      <w:r>
        <w:rPr>
          <w:i/>
        </w:rPr>
        <w:t>Journal of Child Language</w:t>
      </w:r>
      <w:r>
        <w:t xml:space="preserve">, </w:t>
      </w:r>
      <w:r>
        <w:rPr>
          <w:i/>
        </w:rPr>
        <w:t>34</w:t>
      </w:r>
      <w:r>
        <w:t>(1), 175–187.</w:t>
      </w:r>
    </w:p>
    <w:p w14:paraId="615E6F9F" w14:textId="77777777" w:rsidR="00697AEE" w:rsidRDefault="00000000">
      <w:pPr>
        <w:ind w:left="705" w:right="15" w:hanging="720"/>
      </w:pPr>
      <w:proofErr w:type="spellStart"/>
      <w:r>
        <w:t>Bergelson</w:t>
      </w:r>
      <w:proofErr w:type="spellEnd"/>
      <w:r>
        <w:t xml:space="preserve">, E., </w:t>
      </w:r>
      <w:proofErr w:type="spellStart"/>
      <w:r>
        <w:t>Amatuni</w:t>
      </w:r>
      <w:proofErr w:type="spellEnd"/>
      <w:r>
        <w:t xml:space="preserve">, A., Dailey, S., </w:t>
      </w:r>
      <w:proofErr w:type="spellStart"/>
      <w:r>
        <w:t>Koorathota</w:t>
      </w:r>
      <w:proofErr w:type="spellEnd"/>
      <w:r>
        <w:t xml:space="preserve">, S., &amp; Tor, S. (2019). Day by day, hour by hour: Naturalistic language input to infants. </w:t>
      </w:r>
      <w:r>
        <w:rPr>
          <w:i/>
        </w:rPr>
        <w:t>Developmental Science</w:t>
      </w:r>
      <w:r>
        <w:t xml:space="preserve">, </w:t>
      </w:r>
      <w:r>
        <w:rPr>
          <w:i/>
        </w:rPr>
        <w:t>22</w:t>
      </w:r>
      <w:r>
        <w:t>(1), e12715.</w:t>
      </w:r>
    </w:p>
    <w:p w14:paraId="7EED16B3" w14:textId="77777777" w:rsidR="00697AEE" w:rsidRDefault="00000000">
      <w:pPr>
        <w:spacing w:after="163" w:line="259" w:lineRule="auto"/>
        <w:ind w:left="-5" w:right="15"/>
      </w:pPr>
      <w:proofErr w:type="spellStart"/>
      <w:r>
        <w:t>Bergelson</w:t>
      </w:r>
      <w:proofErr w:type="spellEnd"/>
      <w:r>
        <w:t xml:space="preserve">, E., Casillas, M., </w:t>
      </w:r>
      <w:proofErr w:type="spellStart"/>
      <w:r>
        <w:t>Soderstrom</w:t>
      </w:r>
      <w:proofErr w:type="spellEnd"/>
      <w:r>
        <w:t xml:space="preserve">, M., </w:t>
      </w:r>
      <w:proofErr w:type="spellStart"/>
      <w:r>
        <w:t>Seidl</w:t>
      </w:r>
      <w:proofErr w:type="spellEnd"/>
      <w:r>
        <w:t xml:space="preserve">, A., </w:t>
      </w:r>
      <w:proofErr w:type="spellStart"/>
      <w:r>
        <w:t>Warlaumont</w:t>
      </w:r>
      <w:proofErr w:type="spellEnd"/>
      <w:r>
        <w:t xml:space="preserve">, A. S., &amp; </w:t>
      </w:r>
      <w:proofErr w:type="spellStart"/>
      <w:r>
        <w:t>Amatuni</w:t>
      </w:r>
      <w:proofErr w:type="spellEnd"/>
      <w:r>
        <w:t>, A.</w:t>
      </w:r>
    </w:p>
    <w:p w14:paraId="688CDF77" w14:textId="77777777" w:rsidR="00697AEE" w:rsidRDefault="00000000">
      <w:pPr>
        <w:spacing w:after="193" w:line="259" w:lineRule="auto"/>
        <w:ind w:left="730" w:right="15"/>
      </w:pPr>
      <w:r>
        <w:t>(2019). What do North American babies hear? A large-scale cross-corpus analysis.</w:t>
      </w:r>
    </w:p>
    <w:p w14:paraId="7F65BD9B" w14:textId="77777777" w:rsidR="00697AEE" w:rsidRDefault="00000000">
      <w:pPr>
        <w:spacing w:after="172" w:line="259" w:lineRule="auto"/>
        <w:ind w:left="715"/>
      </w:pPr>
      <w:r>
        <w:rPr>
          <w:i/>
        </w:rPr>
        <w:t>Developmental Science</w:t>
      </w:r>
      <w:r>
        <w:t xml:space="preserve">, </w:t>
      </w:r>
      <w:r>
        <w:rPr>
          <w:i/>
        </w:rPr>
        <w:t>22</w:t>
      </w:r>
      <w:r>
        <w:t>(1), e12724.</w:t>
      </w:r>
    </w:p>
    <w:p w14:paraId="7D27DA4B" w14:textId="77777777" w:rsidR="00697AEE" w:rsidRDefault="00000000">
      <w:pPr>
        <w:spacing w:after="27"/>
        <w:ind w:left="705" w:right="15" w:hanging="720"/>
      </w:pPr>
      <w:r>
        <w:t xml:space="preserve">Brown, P. (2014). The interactional context of language learning in Tzeltal. In I. </w:t>
      </w:r>
      <w:proofErr w:type="spellStart"/>
      <w:r>
        <w:t>Arnon</w:t>
      </w:r>
      <w:proofErr w:type="spellEnd"/>
      <w:r>
        <w:t xml:space="preserve">, M. Casillas, C. </w:t>
      </w:r>
      <w:proofErr w:type="spellStart"/>
      <w:r>
        <w:t>Kurumada</w:t>
      </w:r>
      <w:proofErr w:type="spellEnd"/>
      <w:r>
        <w:t xml:space="preserve">, &amp; B. </w:t>
      </w:r>
      <w:proofErr w:type="spellStart"/>
      <w:r>
        <w:t>Estigarribia</w:t>
      </w:r>
      <w:proofErr w:type="spellEnd"/>
      <w:r>
        <w:t xml:space="preserve"> (Eds.), </w:t>
      </w:r>
      <w:r>
        <w:rPr>
          <w:i/>
        </w:rPr>
        <w:t>Language in interaction:</w:t>
      </w:r>
    </w:p>
    <w:p w14:paraId="7CEE5A2A" w14:textId="77777777" w:rsidR="00697AEE" w:rsidRDefault="00000000">
      <w:pPr>
        <w:spacing w:after="205" w:line="259" w:lineRule="auto"/>
        <w:ind w:left="730" w:right="15"/>
      </w:pPr>
      <w:r>
        <w:rPr>
          <w:i/>
        </w:rPr>
        <w:t xml:space="preserve">Studies in honor of Eve V. Clark </w:t>
      </w:r>
      <w:r>
        <w:t>(pp. 51–82). Amsterdam, NL: John Benjamins.</w:t>
      </w:r>
    </w:p>
    <w:p w14:paraId="5F060540" w14:textId="77777777" w:rsidR="00697AEE" w:rsidRDefault="00000000">
      <w:pPr>
        <w:spacing w:after="205" w:line="259" w:lineRule="auto"/>
        <w:ind w:left="-5" w:right="15"/>
      </w:pPr>
      <w:r>
        <w:t xml:space="preserve">Bruner, J. (1985). Child’s talk: Learning to use language. </w:t>
      </w:r>
      <w:r>
        <w:rPr>
          <w:i/>
        </w:rPr>
        <w:t>Child Language Teaching and</w:t>
      </w:r>
    </w:p>
    <w:p w14:paraId="05045C2B" w14:textId="77777777" w:rsidR="00697AEE" w:rsidRDefault="00000000">
      <w:pPr>
        <w:spacing w:after="175" w:line="259" w:lineRule="auto"/>
        <w:ind w:left="730" w:right="15"/>
      </w:pPr>
      <w:r>
        <w:rPr>
          <w:i/>
        </w:rPr>
        <w:t>Therapy</w:t>
      </w:r>
      <w:r>
        <w:t xml:space="preserve">, </w:t>
      </w:r>
      <w:r>
        <w:rPr>
          <w:i/>
        </w:rPr>
        <w:t>1</w:t>
      </w:r>
      <w:r>
        <w:t>(1), 111–114.</w:t>
      </w:r>
    </w:p>
    <w:p w14:paraId="13509106" w14:textId="77777777" w:rsidR="00697AEE" w:rsidRDefault="00000000">
      <w:pPr>
        <w:ind w:left="705" w:right="15" w:hanging="720"/>
      </w:pPr>
      <w:r>
        <w:t xml:space="preserve">Bunce, J. P., </w:t>
      </w:r>
      <w:proofErr w:type="spellStart"/>
      <w:r>
        <w:t>Soderstrom</w:t>
      </w:r>
      <w:proofErr w:type="spellEnd"/>
      <w:r>
        <w:t xml:space="preserve">, M., </w:t>
      </w:r>
      <w:proofErr w:type="spellStart"/>
      <w:r>
        <w:t>Bergelson</w:t>
      </w:r>
      <w:proofErr w:type="spellEnd"/>
      <w:r>
        <w:t xml:space="preserve">, E., </w:t>
      </w:r>
      <w:proofErr w:type="spellStart"/>
      <w:r>
        <w:t>Rosemberg</w:t>
      </w:r>
      <w:proofErr w:type="spellEnd"/>
      <w:r>
        <w:t xml:space="preserve">, C. R., Stein, A., </w:t>
      </w:r>
      <w:proofErr w:type="spellStart"/>
      <w:r>
        <w:t>Alam</w:t>
      </w:r>
      <w:proofErr w:type="spellEnd"/>
      <w:r>
        <w:t xml:space="preserve">, F., </w:t>
      </w:r>
      <w:proofErr w:type="spellStart"/>
      <w:r>
        <w:t>Migdalek</w:t>
      </w:r>
      <w:proofErr w:type="spellEnd"/>
      <w:r>
        <w:t xml:space="preserve">, M., &amp; Casillas, M. (2020). A cross-cultural examination of young children’s everyday language experiences. </w:t>
      </w:r>
      <w:proofErr w:type="spellStart"/>
      <w:r>
        <w:rPr>
          <w:i/>
        </w:rPr>
        <w:t>psyarxiv</w:t>
      </w:r>
      <w:proofErr w:type="spellEnd"/>
      <w:r>
        <w:t>.</w:t>
      </w:r>
    </w:p>
    <w:p w14:paraId="14D85DE3" w14:textId="77777777" w:rsidR="00697AEE" w:rsidRDefault="00000000">
      <w:pPr>
        <w:spacing w:after="163" w:line="259" w:lineRule="auto"/>
        <w:ind w:left="730" w:right="15"/>
      </w:pPr>
      <w:hyperlink r:id="rId6">
        <w:r>
          <w:t>https://doi.org/10.31234/osf.io/723pr</w:t>
        </w:r>
      </w:hyperlink>
    </w:p>
    <w:p w14:paraId="4B96849D" w14:textId="77777777" w:rsidR="00697AEE" w:rsidRDefault="00000000">
      <w:pPr>
        <w:ind w:left="705" w:right="15" w:hanging="720"/>
      </w:pPr>
      <w:r>
        <w:t xml:space="preserve">Casillas, M., </w:t>
      </w:r>
      <w:proofErr w:type="spellStart"/>
      <w:r>
        <w:t>Bergelson</w:t>
      </w:r>
      <w:proofErr w:type="spellEnd"/>
      <w:r>
        <w:t xml:space="preserve">, E., </w:t>
      </w:r>
      <w:proofErr w:type="spellStart"/>
      <w:r>
        <w:t>Warlaumont</w:t>
      </w:r>
      <w:proofErr w:type="spellEnd"/>
      <w:r>
        <w:t xml:space="preserve">, A. S., </w:t>
      </w:r>
      <w:proofErr w:type="spellStart"/>
      <w:r>
        <w:t>Cristia</w:t>
      </w:r>
      <w:proofErr w:type="spellEnd"/>
      <w:r>
        <w:t xml:space="preserve">, A., </w:t>
      </w:r>
      <w:proofErr w:type="spellStart"/>
      <w:r>
        <w:t>Soderstrom</w:t>
      </w:r>
      <w:proofErr w:type="spellEnd"/>
      <w:r>
        <w:t xml:space="preserve">, M., </w:t>
      </w:r>
      <w:proofErr w:type="spellStart"/>
      <w:r>
        <w:t>VanDam</w:t>
      </w:r>
      <w:proofErr w:type="spellEnd"/>
      <w:r>
        <w:t xml:space="preserve">, M., &amp; </w:t>
      </w:r>
      <w:proofErr w:type="spellStart"/>
      <w:r>
        <w:t>Sloetjes</w:t>
      </w:r>
      <w:proofErr w:type="spellEnd"/>
      <w:r>
        <w:t xml:space="preserve">, H. (2017). A new workflow for semi-automatized annotations: Tests with long-form naturalistic recordings of children’s language environments. </w:t>
      </w:r>
      <w:r>
        <w:rPr>
          <w:i/>
        </w:rPr>
        <w:t>Proceedings of</w:t>
      </w:r>
    </w:p>
    <w:p w14:paraId="686A48E2" w14:textId="77777777" w:rsidR="00697AEE" w:rsidRDefault="00000000">
      <w:pPr>
        <w:spacing w:after="172" w:line="259" w:lineRule="auto"/>
        <w:ind w:left="715"/>
      </w:pPr>
      <w:proofErr w:type="spellStart"/>
      <w:r>
        <w:rPr>
          <w:i/>
        </w:rPr>
        <w:t>Interspeech</w:t>
      </w:r>
      <w:proofErr w:type="spellEnd"/>
      <w:r>
        <w:rPr>
          <w:i/>
        </w:rPr>
        <w:t xml:space="preserve"> 2017</w:t>
      </w:r>
      <w:r>
        <w:t>, 2098–2102.</w:t>
      </w:r>
    </w:p>
    <w:p w14:paraId="507AFBBD" w14:textId="77777777" w:rsidR="00697AEE" w:rsidRDefault="00000000">
      <w:pPr>
        <w:spacing w:after="193" w:line="259" w:lineRule="auto"/>
        <w:ind w:left="-5" w:right="15"/>
      </w:pPr>
      <w:r>
        <w:lastRenderedPageBreak/>
        <w:t>Casillas, M., Brown, P., &amp; Levinson, S. C. (2020). Early language experience in a Tseltal</w:t>
      </w:r>
    </w:p>
    <w:p w14:paraId="1918623F" w14:textId="77777777" w:rsidR="00697AEE" w:rsidRDefault="00000000">
      <w:pPr>
        <w:spacing w:after="175" w:line="259" w:lineRule="auto"/>
        <w:ind w:left="730" w:right="15"/>
      </w:pPr>
      <w:r>
        <w:t xml:space="preserve">Mayan village. </w:t>
      </w:r>
      <w:r>
        <w:rPr>
          <w:i/>
        </w:rPr>
        <w:t>Child Development</w:t>
      </w:r>
      <w:r>
        <w:t xml:space="preserve">, </w:t>
      </w:r>
      <w:r>
        <w:rPr>
          <w:i/>
        </w:rPr>
        <w:t>91</w:t>
      </w:r>
      <w:r>
        <w:t>(5), 1819–1835.</w:t>
      </w:r>
    </w:p>
    <w:p w14:paraId="577DC388" w14:textId="77777777" w:rsidR="00697AEE" w:rsidRDefault="00000000">
      <w:pPr>
        <w:ind w:left="705" w:right="15" w:hanging="720"/>
      </w:pPr>
      <w:r>
        <w:t xml:space="preserve">Casillas, M., Brown, P., &amp; Levinson, S. C. (2021). Early language experience in a Papuan community. </w:t>
      </w:r>
      <w:r>
        <w:rPr>
          <w:i/>
        </w:rPr>
        <w:t>Journal of Child Language</w:t>
      </w:r>
      <w:r>
        <w:t xml:space="preserve">, </w:t>
      </w:r>
      <w:r>
        <w:rPr>
          <w:i/>
        </w:rPr>
        <w:t>48</w:t>
      </w:r>
      <w:r>
        <w:t>(4), 792–814.</w:t>
      </w:r>
    </w:p>
    <w:p w14:paraId="6E773759" w14:textId="5F8C1BD9" w:rsidR="00697AEE" w:rsidRDefault="00000000" w:rsidP="00F976ED">
      <w:pPr>
        <w:spacing w:after="27"/>
        <w:ind w:left="705" w:right="15" w:hanging="720"/>
      </w:pPr>
      <w:proofErr w:type="spellStart"/>
      <w:r>
        <w:t>Cristia</w:t>
      </w:r>
      <w:proofErr w:type="spellEnd"/>
      <w:r>
        <w:t xml:space="preserve">, A., </w:t>
      </w:r>
      <w:proofErr w:type="spellStart"/>
      <w:r>
        <w:t>Dupoux</w:t>
      </w:r>
      <w:proofErr w:type="spellEnd"/>
      <w:r>
        <w:t xml:space="preserve">, E., </w:t>
      </w:r>
      <w:proofErr w:type="spellStart"/>
      <w:r>
        <w:t>Gurven</w:t>
      </w:r>
      <w:proofErr w:type="spellEnd"/>
      <w:r>
        <w:t xml:space="preserve">, M., &amp; Stieglitz, J. (2019). Child-directed speech is infrequent in a forager-farmer population: A time allocation study. </w:t>
      </w:r>
      <w:r>
        <w:rPr>
          <w:i/>
        </w:rPr>
        <w:t>Child</w:t>
      </w:r>
      <w:r w:rsidR="00F976ED">
        <w:rPr>
          <w:i/>
        </w:rPr>
        <w:t xml:space="preserve"> </w:t>
      </w:r>
      <w:r>
        <w:rPr>
          <w:i/>
        </w:rPr>
        <w:t>Development</w:t>
      </w:r>
      <w:r>
        <w:t xml:space="preserve">, </w:t>
      </w:r>
      <w:r>
        <w:rPr>
          <w:i/>
        </w:rPr>
        <w:t>90</w:t>
      </w:r>
      <w:r>
        <w:t>(3), 759–773.</w:t>
      </w:r>
    </w:p>
    <w:p w14:paraId="6E933968" w14:textId="77777777" w:rsidR="00697AEE" w:rsidRDefault="00000000">
      <w:pPr>
        <w:spacing w:after="27"/>
        <w:ind w:left="705" w:right="15" w:hanging="720"/>
      </w:pPr>
      <w:proofErr w:type="spellStart"/>
      <w:r>
        <w:t>Cychosz</w:t>
      </w:r>
      <w:proofErr w:type="spellEnd"/>
      <w:r>
        <w:t xml:space="preserve">, M., Villanueva, A., &amp; </w:t>
      </w:r>
      <w:proofErr w:type="spellStart"/>
      <w:r>
        <w:t>Weisleder</w:t>
      </w:r>
      <w:proofErr w:type="spellEnd"/>
      <w:r>
        <w:t xml:space="preserve">, A. (2021). Efficient estimation of children’s language exposure in two bilingual communities. </w:t>
      </w:r>
      <w:r>
        <w:rPr>
          <w:i/>
        </w:rPr>
        <w:t>Journal of Speech, Language, and</w:t>
      </w:r>
    </w:p>
    <w:p w14:paraId="210E3029" w14:textId="77777777" w:rsidR="00697AEE" w:rsidRDefault="00000000">
      <w:pPr>
        <w:spacing w:after="172" w:line="259" w:lineRule="auto"/>
        <w:ind w:left="715"/>
      </w:pPr>
      <w:r>
        <w:rPr>
          <w:i/>
        </w:rPr>
        <w:t>Hearing Research</w:t>
      </w:r>
      <w:r>
        <w:t xml:space="preserve">, </w:t>
      </w:r>
      <w:r>
        <w:rPr>
          <w:i/>
        </w:rPr>
        <w:t>64</w:t>
      </w:r>
      <w:r>
        <w:t>(10), 3843–3866.</w:t>
      </w:r>
    </w:p>
    <w:p w14:paraId="385A6598" w14:textId="77777777" w:rsidR="00697AEE" w:rsidRDefault="00000000">
      <w:pPr>
        <w:ind w:left="705" w:right="15" w:hanging="720"/>
      </w:pPr>
      <w:r>
        <w:t xml:space="preserve">de León, L. (2019). Playing at being bilingual: Bilingual performances, stance, and language scaling in Mayan Tzotzil siblings’ play. </w:t>
      </w:r>
      <w:r>
        <w:rPr>
          <w:i/>
        </w:rPr>
        <w:t>Journal of Pragmatics</w:t>
      </w:r>
      <w:r>
        <w:t xml:space="preserve">, </w:t>
      </w:r>
      <w:r>
        <w:rPr>
          <w:i/>
        </w:rPr>
        <w:t>144</w:t>
      </w:r>
      <w:r>
        <w:t>, 92–108.</w:t>
      </w:r>
    </w:p>
    <w:p w14:paraId="7EF843BE" w14:textId="77777777" w:rsidR="00697AEE" w:rsidRDefault="00000000">
      <w:pPr>
        <w:ind w:left="705" w:right="15" w:hanging="720"/>
      </w:pPr>
      <w:proofErr w:type="spellStart"/>
      <w:r>
        <w:t>Farran</w:t>
      </w:r>
      <w:proofErr w:type="spellEnd"/>
      <w:r>
        <w:t xml:space="preserve">, L. K., Lee, C.-C., </w:t>
      </w:r>
      <w:proofErr w:type="spellStart"/>
      <w:r>
        <w:t>Yoo</w:t>
      </w:r>
      <w:proofErr w:type="spellEnd"/>
      <w:r>
        <w:t xml:space="preserve">, H., &amp; </w:t>
      </w:r>
      <w:proofErr w:type="spellStart"/>
      <w:r>
        <w:t>Oller</w:t>
      </w:r>
      <w:proofErr w:type="spellEnd"/>
      <w:r>
        <w:t xml:space="preserve">, D. K. (2016). Cross-cultural register differences in infant-directed speech: An initial study. </w:t>
      </w:r>
      <w:proofErr w:type="spellStart"/>
      <w:r>
        <w:rPr>
          <w:i/>
        </w:rPr>
        <w:t>PloS</w:t>
      </w:r>
      <w:proofErr w:type="spellEnd"/>
      <w:r>
        <w:rPr>
          <w:i/>
        </w:rPr>
        <w:t xml:space="preserve"> One</w:t>
      </w:r>
      <w:r>
        <w:t xml:space="preserve">, </w:t>
      </w:r>
      <w:r>
        <w:rPr>
          <w:i/>
        </w:rPr>
        <w:t>11</w:t>
      </w:r>
      <w:r>
        <w:t>(3), e0151518.</w:t>
      </w:r>
    </w:p>
    <w:p w14:paraId="154BD3D3" w14:textId="77777777" w:rsidR="00697AEE" w:rsidRDefault="00000000">
      <w:pPr>
        <w:spacing w:after="27"/>
        <w:ind w:left="705" w:right="15" w:hanging="720"/>
      </w:pPr>
      <w:proofErr w:type="spellStart"/>
      <w:r>
        <w:t>Ferjan</w:t>
      </w:r>
      <w:proofErr w:type="spellEnd"/>
      <w:r>
        <w:t xml:space="preserve"> Ramírez, N., </w:t>
      </w:r>
      <w:proofErr w:type="spellStart"/>
      <w:r>
        <w:t>Hippe</w:t>
      </w:r>
      <w:proofErr w:type="spellEnd"/>
      <w:r>
        <w:t xml:space="preserve">, D. S., &amp; Kuhl, P. K. (2021). Comparing automatic and manual measures of parent–infant conversational turns: A word of caution. </w:t>
      </w:r>
      <w:r>
        <w:rPr>
          <w:i/>
        </w:rPr>
        <w:t>Child</w:t>
      </w:r>
    </w:p>
    <w:p w14:paraId="190A0C9D" w14:textId="77777777" w:rsidR="00697AEE" w:rsidRDefault="00000000">
      <w:pPr>
        <w:spacing w:after="175" w:line="259" w:lineRule="auto"/>
        <w:ind w:left="730" w:right="15"/>
      </w:pPr>
      <w:r>
        <w:rPr>
          <w:i/>
        </w:rPr>
        <w:t>Development</w:t>
      </w:r>
      <w:r>
        <w:t xml:space="preserve">, </w:t>
      </w:r>
      <w:r>
        <w:rPr>
          <w:i/>
        </w:rPr>
        <w:t>92</w:t>
      </w:r>
      <w:r>
        <w:t>(2), 672–681.</w:t>
      </w:r>
    </w:p>
    <w:p w14:paraId="458B12E5" w14:textId="77777777" w:rsidR="00F976ED" w:rsidRDefault="00000000" w:rsidP="00F976ED">
      <w:pPr>
        <w:spacing w:after="27"/>
        <w:ind w:left="705" w:right="15" w:hanging="720"/>
      </w:pPr>
      <w:proofErr w:type="spellStart"/>
      <w:r>
        <w:t>Foushee</w:t>
      </w:r>
      <w:proofErr w:type="spellEnd"/>
      <w:r>
        <w:t xml:space="preserve">, R., Srinivasan, M., &amp; Xu, F. (2021). Self-directed learning by preschoolers in a naturalistic overhearing context. </w:t>
      </w:r>
      <w:r>
        <w:rPr>
          <w:i/>
        </w:rPr>
        <w:t>Cognition</w:t>
      </w:r>
      <w:r>
        <w:t xml:space="preserve">, </w:t>
      </w:r>
      <w:r>
        <w:rPr>
          <w:i/>
        </w:rPr>
        <w:t>206</w:t>
      </w:r>
      <w:r>
        <w:t>, 104415.</w:t>
      </w:r>
    </w:p>
    <w:p w14:paraId="5FB9105B" w14:textId="3C1D27C2" w:rsidR="00697AEE" w:rsidRDefault="00000000" w:rsidP="00F976ED">
      <w:pPr>
        <w:spacing w:after="27"/>
        <w:ind w:left="705" w:right="15" w:hanging="720"/>
      </w:pPr>
      <w:r>
        <w:t xml:space="preserve">Frank, M. C., </w:t>
      </w:r>
      <w:proofErr w:type="spellStart"/>
      <w:r>
        <w:t>Braginsky</w:t>
      </w:r>
      <w:proofErr w:type="spellEnd"/>
      <w:r>
        <w:t xml:space="preserve">, M., </w:t>
      </w:r>
      <w:proofErr w:type="spellStart"/>
      <w:r>
        <w:t>Yurovsky</w:t>
      </w:r>
      <w:proofErr w:type="spellEnd"/>
      <w:r>
        <w:t xml:space="preserve">, D., &amp; Marchman, V. A. (2021). </w:t>
      </w:r>
      <w:r>
        <w:rPr>
          <w:i/>
        </w:rPr>
        <w:t>Variability and consistency</w:t>
      </w:r>
      <w:r w:rsidR="00F976ED">
        <w:rPr>
          <w:i/>
        </w:rPr>
        <w:t xml:space="preserve"> </w:t>
      </w:r>
      <w:r>
        <w:rPr>
          <w:i/>
        </w:rPr>
        <w:t xml:space="preserve">in early language learning: The </w:t>
      </w:r>
      <w:proofErr w:type="spellStart"/>
      <w:r>
        <w:rPr>
          <w:i/>
        </w:rPr>
        <w:t>Wordbank</w:t>
      </w:r>
      <w:proofErr w:type="spellEnd"/>
      <w:r>
        <w:rPr>
          <w:i/>
        </w:rPr>
        <w:t xml:space="preserve"> project</w:t>
      </w:r>
      <w:r>
        <w:t>. MIT Press.</w:t>
      </w:r>
    </w:p>
    <w:p w14:paraId="59B555F6" w14:textId="77777777" w:rsidR="00697AEE" w:rsidRDefault="00000000">
      <w:pPr>
        <w:spacing w:after="13" w:line="402" w:lineRule="auto"/>
        <w:ind w:left="715" w:right="-7" w:hanging="730"/>
        <w:jc w:val="both"/>
      </w:pPr>
      <w:r>
        <w:t xml:space="preserve">Gaskins, S. (2006). Cultural perspectives on infant-caregiver interaction. In N. J. Enfield &amp; S. C. Levinson (Eds.), </w:t>
      </w:r>
      <w:r>
        <w:rPr>
          <w:i/>
        </w:rPr>
        <w:t xml:space="preserve">Roots of human sociality: Culture, </w:t>
      </w:r>
      <w:proofErr w:type="gramStart"/>
      <w:r>
        <w:rPr>
          <w:i/>
        </w:rPr>
        <w:t>cognition</w:t>
      </w:r>
      <w:proofErr w:type="gramEnd"/>
      <w:r>
        <w:rPr>
          <w:i/>
        </w:rPr>
        <w:t xml:space="preserve"> and interaction </w:t>
      </w:r>
      <w:r>
        <w:t xml:space="preserve">(pp. 279–298). </w:t>
      </w:r>
      <w:proofErr w:type="spellStart"/>
      <w:proofErr w:type="gramStart"/>
      <w:r>
        <w:t>Oxford:Berg</w:t>
      </w:r>
      <w:proofErr w:type="spellEnd"/>
      <w:proofErr w:type="gramEnd"/>
      <w:r>
        <w:t>.</w:t>
      </w:r>
    </w:p>
    <w:p w14:paraId="1CAFB595" w14:textId="77777777" w:rsidR="00697AEE" w:rsidRDefault="00000000">
      <w:pPr>
        <w:spacing w:after="165"/>
        <w:ind w:left="705" w:right="15" w:hanging="720"/>
      </w:pPr>
      <w:proofErr w:type="spellStart"/>
      <w:r>
        <w:t>Glas</w:t>
      </w:r>
      <w:proofErr w:type="spellEnd"/>
      <w:r>
        <w:t xml:space="preserve">, L., Rossi, C., Hamdi-Sultan, R., </w:t>
      </w:r>
      <w:proofErr w:type="spellStart"/>
      <w:r>
        <w:t>Batailler</w:t>
      </w:r>
      <w:proofErr w:type="spellEnd"/>
      <w:r>
        <w:t xml:space="preserve">, C., &amp; </w:t>
      </w:r>
      <w:proofErr w:type="spellStart"/>
      <w:r>
        <w:t>Bellemmouche</w:t>
      </w:r>
      <w:proofErr w:type="spellEnd"/>
      <w:r>
        <w:t xml:space="preserve">, H. (2018). Activity types and child-directed speech: A comparison between French, Tunisian Arabic and English. </w:t>
      </w:r>
      <w:r>
        <w:rPr>
          <w:i/>
        </w:rPr>
        <w:t xml:space="preserve">Canadian Journal of Linguistics/Revue </w:t>
      </w:r>
      <w:proofErr w:type="spellStart"/>
      <w:r>
        <w:rPr>
          <w:i/>
        </w:rPr>
        <w:t>canadienne</w:t>
      </w:r>
      <w:proofErr w:type="spellEnd"/>
      <w:r>
        <w:rPr>
          <w:i/>
        </w:rPr>
        <w:t xml:space="preserve"> de </w:t>
      </w:r>
      <w:proofErr w:type="spellStart"/>
      <w:r>
        <w:rPr>
          <w:i/>
        </w:rPr>
        <w:t>linguistique</w:t>
      </w:r>
      <w:proofErr w:type="spellEnd"/>
      <w:r>
        <w:t xml:space="preserve">, </w:t>
      </w:r>
      <w:r>
        <w:rPr>
          <w:i/>
        </w:rPr>
        <w:t>63</w:t>
      </w:r>
      <w:r>
        <w:t>(4),</w:t>
      </w:r>
    </w:p>
    <w:p w14:paraId="1BD5C83C" w14:textId="77777777" w:rsidR="00697AEE" w:rsidRDefault="00000000">
      <w:pPr>
        <w:spacing w:after="163" w:line="259" w:lineRule="auto"/>
        <w:ind w:left="730" w:right="15"/>
      </w:pPr>
      <w:r>
        <w:lastRenderedPageBreak/>
        <w:t>633–666.</w:t>
      </w:r>
    </w:p>
    <w:p w14:paraId="736F54A0" w14:textId="77777777" w:rsidR="00697AEE" w:rsidRDefault="00000000">
      <w:pPr>
        <w:ind w:left="705" w:right="15" w:hanging="720"/>
      </w:pPr>
      <w:r>
        <w:t xml:space="preserve">Greenwood, C. R., Thiemann-Bourque, K., Walker, D., </w:t>
      </w:r>
      <w:proofErr w:type="spellStart"/>
      <w:r>
        <w:t>Buzhardt</w:t>
      </w:r>
      <w:proofErr w:type="spellEnd"/>
      <w:r>
        <w:t xml:space="preserve">, J., &amp; </w:t>
      </w:r>
      <w:proofErr w:type="spellStart"/>
      <w:r>
        <w:t>Gilkerson</w:t>
      </w:r>
      <w:proofErr w:type="spellEnd"/>
      <w:r>
        <w:t xml:space="preserve">, J. (2011). Assessing children’s home language environments using automatic speech recognition technology. </w:t>
      </w:r>
      <w:r>
        <w:rPr>
          <w:i/>
        </w:rPr>
        <w:t>Communication Disorders Quarterly</w:t>
      </w:r>
      <w:r>
        <w:t xml:space="preserve">, </w:t>
      </w:r>
      <w:r>
        <w:rPr>
          <w:i/>
        </w:rPr>
        <w:t>32</w:t>
      </w:r>
      <w:r>
        <w:t>(2), 83–92.</w:t>
      </w:r>
    </w:p>
    <w:p w14:paraId="110E6C1F" w14:textId="77777777" w:rsidR="00697AEE" w:rsidRDefault="00000000">
      <w:pPr>
        <w:ind w:left="705" w:right="15" w:hanging="720"/>
      </w:pPr>
      <w:proofErr w:type="spellStart"/>
      <w:r>
        <w:t>Kachergis</w:t>
      </w:r>
      <w:proofErr w:type="spellEnd"/>
      <w:r>
        <w:t xml:space="preserve">, G., Marchman, V. A., &amp; Frank, M. C. (2022). Toward a “standard model” of early language learning. </w:t>
      </w:r>
      <w:r>
        <w:rPr>
          <w:i/>
        </w:rPr>
        <w:t>Current Directions in Psychological Science</w:t>
      </w:r>
      <w:r>
        <w:t xml:space="preserve">, </w:t>
      </w:r>
      <w:r>
        <w:rPr>
          <w:i/>
        </w:rPr>
        <w:t>31</w:t>
      </w:r>
      <w:r>
        <w:t>(1), 20–27.</w:t>
      </w:r>
    </w:p>
    <w:p w14:paraId="7156AD9C" w14:textId="77777777" w:rsidR="00697AEE" w:rsidRDefault="00000000">
      <w:pPr>
        <w:ind w:left="705" w:right="15" w:hanging="720"/>
      </w:pPr>
      <w:r>
        <w:t xml:space="preserve">Kitamura, C., </w:t>
      </w:r>
      <w:proofErr w:type="spellStart"/>
      <w:r>
        <w:t>Thanavishuth</w:t>
      </w:r>
      <w:proofErr w:type="spellEnd"/>
      <w:r>
        <w:t xml:space="preserve">, C., Burnham, D., &amp; </w:t>
      </w:r>
      <w:proofErr w:type="spellStart"/>
      <w:r>
        <w:t>Luksaneeyanawin</w:t>
      </w:r>
      <w:proofErr w:type="spellEnd"/>
      <w:r>
        <w:t xml:space="preserve">, S. (2001). Universality and specificity in infant-directed speech: Pitch modifications as a function of infant age and sex in a tonal and non-tonal language. </w:t>
      </w:r>
      <w:r>
        <w:rPr>
          <w:i/>
        </w:rPr>
        <w:t>Infant Behavior and Development</w:t>
      </w:r>
      <w:r>
        <w:t xml:space="preserve">, </w:t>
      </w:r>
      <w:r>
        <w:rPr>
          <w:i/>
        </w:rPr>
        <w:t>24</w:t>
      </w:r>
      <w:r>
        <w:t>(4), 372–392.</w:t>
      </w:r>
    </w:p>
    <w:p w14:paraId="254F3D66" w14:textId="77777777" w:rsidR="00697AEE" w:rsidRDefault="00000000">
      <w:pPr>
        <w:spacing w:after="13" w:line="402" w:lineRule="auto"/>
        <w:ind w:left="715" w:right="317" w:hanging="730"/>
        <w:jc w:val="both"/>
      </w:pPr>
      <w:r>
        <w:t xml:space="preserve">Knightly, L. M., Jun, S.-A., Oh, J. S., &amp; Au, T. K.-f. (2003). Production benefits of childhood overhearing. </w:t>
      </w:r>
      <w:r>
        <w:rPr>
          <w:i/>
        </w:rPr>
        <w:t>The Journal of the Acoustical Society of America</w:t>
      </w:r>
      <w:r>
        <w:t xml:space="preserve">, </w:t>
      </w:r>
      <w:r>
        <w:rPr>
          <w:i/>
        </w:rPr>
        <w:t>114</w:t>
      </w:r>
      <w:r>
        <w:t>(1), 465–474.</w:t>
      </w:r>
    </w:p>
    <w:p w14:paraId="6BF3321E" w14:textId="77777777" w:rsidR="00697AEE" w:rsidRDefault="00000000">
      <w:pPr>
        <w:spacing w:after="172" w:line="259" w:lineRule="auto"/>
      </w:pPr>
      <w:proofErr w:type="spellStart"/>
      <w:r>
        <w:t>MacWhinney</w:t>
      </w:r>
      <w:proofErr w:type="spellEnd"/>
      <w:r>
        <w:t xml:space="preserve">, B. (2000). </w:t>
      </w:r>
      <w:r>
        <w:rPr>
          <w:i/>
        </w:rPr>
        <w:t>The CHILDES project: Tools for analyzing talk. Third Edition.</w:t>
      </w:r>
    </w:p>
    <w:p w14:paraId="6BD68E59" w14:textId="77777777" w:rsidR="00697AEE" w:rsidRDefault="00000000">
      <w:pPr>
        <w:spacing w:after="163" w:line="259" w:lineRule="auto"/>
        <w:ind w:left="730" w:right="15"/>
      </w:pPr>
      <w:r>
        <w:t>Mahwah, NJ: Lawrence Erlbaum Associates.</w:t>
      </w:r>
    </w:p>
    <w:p w14:paraId="211FEA70" w14:textId="77777777" w:rsidR="00697AEE" w:rsidRDefault="00000000">
      <w:pPr>
        <w:ind w:left="705" w:right="15" w:hanging="720"/>
      </w:pPr>
      <w:proofErr w:type="spellStart"/>
      <w:r>
        <w:t>Masek</w:t>
      </w:r>
      <w:proofErr w:type="spellEnd"/>
      <w:r>
        <w:t>, L. R., Ramirez, A. G., McMillan, B. T., Hirsh-</w:t>
      </w:r>
      <w:proofErr w:type="spellStart"/>
      <w:r>
        <w:t>Pasek</w:t>
      </w:r>
      <w:proofErr w:type="spellEnd"/>
      <w:r>
        <w:t xml:space="preserve">, K., &amp; </w:t>
      </w:r>
      <w:proofErr w:type="spellStart"/>
      <w:r>
        <w:t>Golinkoff</w:t>
      </w:r>
      <w:proofErr w:type="spellEnd"/>
      <w:r>
        <w:t xml:space="preserve">, R. M. (2021). Beyond counting words: A paradigm shift for the study of language acquisition. </w:t>
      </w:r>
      <w:r>
        <w:rPr>
          <w:i/>
        </w:rPr>
        <w:t>Child Development Perspectives</w:t>
      </w:r>
      <w:r>
        <w:t xml:space="preserve">, </w:t>
      </w:r>
      <w:r>
        <w:rPr>
          <w:i/>
        </w:rPr>
        <w:t>15</w:t>
      </w:r>
      <w:r>
        <w:t>(4), 274–280.</w:t>
      </w:r>
    </w:p>
    <w:p w14:paraId="60719923" w14:textId="77777777" w:rsidR="00697AEE" w:rsidRDefault="00000000">
      <w:pPr>
        <w:ind w:left="705" w:right="15" w:hanging="720"/>
      </w:pPr>
      <w:r>
        <w:t xml:space="preserve">McClay, E. K., </w:t>
      </w:r>
      <w:proofErr w:type="spellStart"/>
      <w:r>
        <w:t>Cebioglu</w:t>
      </w:r>
      <w:proofErr w:type="spellEnd"/>
      <w:r>
        <w:t xml:space="preserve">, S., </w:t>
      </w:r>
      <w:proofErr w:type="spellStart"/>
      <w:r>
        <w:t>Broesch</w:t>
      </w:r>
      <w:proofErr w:type="spellEnd"/>
      <w:r>
        <w:t xml:space="preserve">, T., &amp; Yeung, H. H. (2022). Rethinking the phonetics of baby-talk: Differences across Canada and Vanuatu in the articulation of mothers’ speech to infants. </w:t>
      </w:r>
      <w:r>
        <w:rPr>
          <w:i/>
        </w:rPr>
        <w:t>Developmental Science</w:t>
      </w:r>
      <w:r>
        <w:t xml:space="preserve">, </w:t>
      </w:r>
      <w:r>
        <w:rPr>
          <w:i/>
        </w:rPr>
        <w:t>25</w:t>
      </w:r>
      <w:r>
        <w:t>(2), e13180.</w:t>
      </w:r>
    </w:p>
    <w:p w14:paraId="010CB460" w14:textId="77777777" w:rsidR="00697AEE" w:rsidRDefault="00000000">
      <w:pPr>
        <w:ind w:left="705" w:right="15" w:hanging="720"/>
      </w:pPr>
      <w:r>
        <w:t xml:space="preserve">Mendoza, J. K., &amp; </w:t>
      </w:r>
      <w:proofErr w:type="spellStart"/>
      <w:r>
        <w:t>Fausey</w:t>
      </w:r>
      <w:proofErr w:type="spellEnd"/>
      <w:r>
        <w:t xml:space="preserve">, C. M. (2021). Quantifying everyday ecologies: Principles for manual annotation of many hours of infants’ lives. </w:t>
      </w:r>
      <w:r>
        <w:rPr>
          <w:i/>
        </w:rPr>
        <w:t>Frontiers in Psychology</w:t>
      </w:r>
      <w:r>
        <w:t xml:space="preserve">, </w:t>
      </w:r>
      <w:r>
        <w:rPr>
          <w:i/>
        </w:rPr>
        <w:t>12</w:t>
      </w:r>
      <w:r>
        <w:t>.</w:t>
      </w:r>
    </w:p>
    <w:p w14:paraId="5F70867D" w14:textId="77777777" w:rsidR="00697AEE" w:rsidRDefault="00000000">
      <w:pPr>
        <w:ind w:left="705" w:right="15" w:hanging="720"/>
      </w:pPr>
      <w:r>
        <w:t xml:space="preserve">Montag, J. L. (2020). New insights from daylong audio transcripts of children’s language environments. </w:t>
      </w:r>
      <w:r>
        <w:rPr>
          <w:i/>
        </w:rPr>
        <w:t>Proceedings of the 42nd Annual Virtual Meeting of the Cognitive</w:t>
      </w:r>
    </w:p>
    <w:p w14:paraId="7AE44B6A" w14:textId="77777777" w:rsidR="00697AEE" w:rsidRDefault="00000000">
      <w:pPr>
        <w:spacing w:after="172" w:line="259" w:lineRule="auto"/>
        <w:ind w:left="715"/>
      </w:pPr>
      <w:r>
        <w:rPr>
          <w:i/>
        </w:rPr>
        <w:t>Science Society (</w:t>
      </w:r>
      <w:proofErr w:type="spellStart"/>
      <w:r>
        <w:rPr>
          <w:i/>
        </w:rPr>
        <w:t>CogSci</w:t>
      </w:r>
      <w:proofErr w:type="spellEnd"/>
      <w:r>
        <w:rPr>
          <w:i/>
        </w:rPr>
        <w:t xml:space="preserve"> 2020)</w:t>
      </w:r>
      <w:r>
        <w:t>, 3005–3011.</w:t>
      </w:r>
    </w:p>
    <w:p w14:paraId="232E1D4B" w14:textId="77777777" w:rsidR="00697AEE" w:rsidRDefault="00000000">
      <w:pPr>
        <w:ind w:left="705" w:right="15" w:hanging="720"/>
      </w:pPr>
      <w:r>
        <w:lastRenderedPageBreak/>
        <w:t xml:space="preserve">Ochs, E., &amp; Schieffelin, B. (1984). Language acquisition and socialization: Three developmental stories and their implications. In R. A. </w:t>
      </w:r>
      <w:proofErr w:type="spellStart"/>
      <w:r>
        <w:t>Shweder</w:t>
      </w:r>
      <w:proofErr w:type="spellEnd"/>
      <w:r>
        <w:t xml:space="preserve"> &amp; R. A. LeVine (Eds.), </w:t>
      </w:r>
      <w:r>
        <w:rPr>
          <w:i/>
        </w:rPr>
        <w:t xml:space="preserve">Culture theory: Essays on mind, self, and emotion </w:t>
      </w:r>
      <w:r>
        <w:t>(pp. 276–320). Cambridge University Press New York.</w:t>
      </w:r>
    </w:p>
    <w:p w14:paraId="3B267C6B" w14:textId="77777777" w:rsidR="00697AEE" w:rsidRDefault="00000000">
      <w:pPr>
        <w:spacing w:after="27"/>
        <w:ind w:left="705" w:right="15" w:hanging="720"/>
      </w:pPr>
      <w:proofErr w:type="spellStart"/>
      <w:r>
        <w:t>Oshima-Takane</w:t>
      </w:r>
      <w:proofErr w:type="spellEnd"/>
      <w:r>
        <w:t xml:space="preserve">, Y. (1988). Children learn from speech not addressed to them: The case of personal pronouns. </w:t>
      </w:r>
      <w:r>
        <w:rPr>
          <w:i/>
        </w:rPr>
        <w:t>Journal of Child language</w:t>
      </w:r>
      <w:r>
        <w:t xml:space="preserve">, </w:t>
      </w:r>
      <w:r>
        <w:rPr>
          <w:i/>
        </w:rPr>
        <w:t>15</w:t>
      </w:r>
      <w:r>
        <w:t>(1), 95–108.</w:t>
      </w:r>
    </w:p>
    <w:p w14:paraId="4E7FFB39" w14:textId="77777777" w:rsidR="00697AEE" w:rsidRDefault="00000000">
      <w:pPr>
        <w:spacing w:after="205" w:line="259" w:lineRule="auto"/>
        <w:ind w:left="-5" w:right="15"/>
      </w:pPr>
      <w:r>
        <w:t xml:space="preserve">Pye, C. (1986). Quiché Mayan speech to children. </w:t>
      </w:r>
      <w:r>
        <w:rPr>
          <w:i/>
        </w:rPr>
        <w:t>Journal of Child Language</w:t>
      </w:r>
      <w:r>
        <w:t xml:space="preserve">, </w:t>
      </w:r>
      <w:r>
        <w:rPr>
          <w:i/>
        </w:rPr>
        <w:t>13</w:t>
      </w:r>
      <w:r>
        <w:t>(1),</w:t>
      </w:r>
    </w:p>
    <w:p w14:paraId="1ED59832" w14:textId="77777777" w:rsidR="00697AEE" w:rsidRDefault="00000000">
      <w:pPr>
        <w:spacing w:after="175" w:line="259" w:lineRule="auto"/>
        <w:ind w:left="730" w:right="15"/>
      </w:pPr>
      <w:r>
        <w:t xml:space="preserve">85–100. </w:t>
      </w:r>
      <w:hyperlink r:id="rId7">
        <w:r>
          <w:t>https://doi.org/10.1017/S0305000900000313</w:t>
        </w:r>
      </w:hyperlink>
    </w:p>
    <w:p w14:paraId="033C6B84" w14:textId="77777777" w:rsidR="00697AEE" w:rsidRDefault="00000000">
      <w:pPr>
        <w:ind w:left="705" w:right="15" w:hanging="720"/>
      </w:pPr>
      <w:proofErr w:type="spellStart"/>
      <w:r>
        <w:t>Räsänen</w:t>
      </w:r>
      <w:proofErr w:type="spellEnd"/>
      <w:r>
        <w:t xml:space="preserve">, O., Seshadri, S., </w:t>
      </w:r>
      <w:proofErr w:type="spellStart"/>
      <w:r>
        <w:t>Lavechin</w:t>
      </w:r>
      <w:proofErr w:type="spellEnd"/>
      <w:r>
        <w:t xml:space="preserve">, M., </w:t>
      </w:r>
      <w:proofErr w:type="spellStart"/>
      <w:r>
        <w:t>Cristia</w:t>
      </w:r>
      <w:proofErr w:type="spellEnd"/>
      <w:r>
        <w:t xml:space="preserve">, A., &amp; Casillas, M. (2021). ALICE: An open-source tool for automatic measurement of phoneme, syllable, and word counts from child-centered daylong recordings. </w:t>
      </w:r>
      <w:r>
        <w:rPr>
          <w:i/>
        </w:rPr>
        <w:t>Behavior Research Methods</w:t>
      </w:r>
      <w:r>
        <w:t xml:space="preserve">, </w:t>
      </w:r>
      <w:r>
        <w:rPr>
          <w:i/>
        </w:rPr>
        <w:t>53</w:t>
      </w:r>
      <w:r>
        <w:t>(2), 818–835.</w:t>
      </w:r>
    </w:p>
    <w:p w14:paraId="3FF56704" w14:textId="77777777" w:rsidR="00697AEE" w:rsidRDefault="00000000">
      <w:pPr>
        <w:ind w:left="705" w:right="15" w:hanging="720"/>
      </w:pPr>
      <w:r>
        <w:t xml:space="preserve">Rogoff, B., Paradise, R., </w:t>
      </w:r>
      <w:proofErr w:type="spellStart"/>
      <w:r>
        <w:t>Arauz</w:t>
      </w:r>
      <w:proofErr w:type="spellEnd"/>
      <w:r>
        <w:t xml:space="preserve">, R. M., Correa-Chávez, M., &amp; </w:t>
      </w:r>
      <w:proofErr w:type="spellStart"/>
      <w:r>
        <w:t>Angelillo</w:t>
      </w:r>
      <w:proofErr w:type="spellEnd"/>
      <w:r>
        <w:t xml:space="preserve">, C. (2003). Firsthand learning through intent participation. </w:t>
      </w:r>
      <w:r>
        <w:rPr>
          <w:i/>
        </w:rPr>
        <w:t>Annual Review of Psychology</w:t>
      </w:r>
      <w:r>
        <w:t>,</w:t>
      </w:r>
    </w:p>
    <w:p w14:paraId="447DE9E9" w14:textId="77777777" w:rsidR="00697AEE" w:rsidRDefault="00000000">
      <w:pPr>
        <w:spacing w:after="193" w:line="259" w:lineRule="auto"/>
        <w:ind w:left="730" w:right="15"/>
      </w:pPr>
      <w:r>
        <w:rPr>
          <w:i/>
        </w:rPr>
        <w:t>54</w:t>
      </w:r>
      <w:r>
        <w:t>(1), 175–203.</w:t>
      </w:r>
    </w:p>
    <w:p w14:paraId="2D8357E0" w14:textId="77777777" w:rsidR="00697AEE" w:rsidRDefault="00000000">
      <w:pPr>
        <w:spacing w:after="205" w:line="259" w:lineRule="auto"/>
        <w:ind w:left="-5" w:right="15"/>
      </w:pPr>
      <w:r>
        <w:t xml:space="preserve">Rowe, M. L., &amp; </w:t>
      </w:r>
      <w:proofErr w:type="spellStart"/>
      <w:r>
        <w:t>Weisleder</w:t>
      </w:r>
      <w:proofErr w:type="spellEnd"/>
      <w:r>
        <w:t xml:space="preserve">, A. (2020). Language development in context. </w:t>
      </w:r>
      <w:r>
        <w:rPr>
          <w:i/>
        </w:rPr>
        <w:t>Annual Review of</w:t>
      </w:r>
    </w:p>
    <w:p w14:paraId="22CF0A1D" w14:textId="77777777" w:rsidR="00697AEE" w:rsidRDefault="00000000">
      <w:pPr>
        <w:spacing w:after="172" w:line="259" w:lineRule="auto"/>
        <w:ind w:left="715"/>
      </w:pPr>
      <w:r>
        <w:rPr>
          <w:i/>
        </w:rPr>
        <w:t>Developmental Psychology</w:t>
      </w:r>
      <w:r>
        <w:t xml:space="preserve">, </w:t>
      </w:r>
      <w:r>
        <w:rPr>
          <w:i/>
        </w:rPr>
        <w:t>2</w:t>
      </w:r>
      <w:r>
        <w:t>, 201–223.</w:t>
      </w:r>
    </w:p>
    <w:p w14:paraId="7BC3B6ED" w14:textId="77777777" w:rsidR="00697AEE" w:rsidRDefault="00000000">
      <w:pPr>
        <w:ind w:left="705" w:right="15" w:hanging="720"/>
      </w:pPr>
      <w:proofErr w:type="spellStart"/>
      <w:r>
        <w:t>Shneidman</w:t>
      </w:r>
      <w:proofErr w:type="spellEnd"/>
      <w:r>
        <w:t xml:space="preserve">, L. A., &amp; Goldin-Meadow, S. (2012). Language input and acquisition in a </w:t>
      </w:r>
      <w:proofErr w:type="spellStart"/>
      <w:r>
        <w:t>mayan</w:t>
      </w:r>
      <w:proofErr w:type="spellEnd"/>
      <w:r>
        <w:t xml:space="preserve"> village: How important is directed speech? </w:t>
      </w:r>
      <w:r>
        <w:rPr>
          <w:i/>
        </w:rPr>
        <w:t>Developmental Science</w:t>
      </w:r>
      <w:r>
        <w:t xml:space="preserve">, </w:t>
      </w:r>
      <w:r>
        <w:rPr>
          <w:i/>
        </w:rPr>
        <w:t>15</w:t>
      </w:r>
      <w:r>
        <w:t>(5), 659–673.</w:t>
      </w:r>
    </w:p>
    <w:p w14:paraId="1E4D8B60" w14:textId="77777777" w:rsidR="00697AEE" w:rsidRDefault="00000000">
      <w:pPr>
        <w:ind w:left="705" w:right="15" w:hanging="720"/>
      </w:pPr>
      <w:proofErr w:type="spellStart"/>
      <w:r>
        <w:t>Slobin</w:t>
      </w:r>
      <w:proofErr w:type="spellEnd"/>
      <w:r>
        <w:t xml:space="preserve">, D. I. (2014). Before the beginning: The development of tools of the trade. </w:t>
      </w:r>
      <w:r>
        <w:rPr>
          <w:i/>
        </w:rPr>
        <w:t>Journal of Child Language</w:t>
      </w:r>
      <w:r>
        <w:t xml:space="preserve">, </w:t>
      </w:r>
      <w:r>
        <w:rPr>
          <w:i/>
        </w:rPr>
        <w:t>41</w:t>
      </w:r>
      <w:r>
        <w:t>(S1), 1–17.</w:t>
      </w:r>
    </w:p>
    <w:p w14:paraId="1FE89D4C" w14:textId="77777777" w:rsidR="00697AEE" w:rsidRDefault="00000000">
      <w:pPr>
        <w:spacing w:after="29"/>
        <w:ind w:left="705" w:right="15" w:hanging="720"/>
      </w:pPr>
      <w:proofErr w:type="spellStart"/>
      <w:r>
        <w:t>Soderstrom</w:t>
      </w:r>
      <w:proofErr w:type="spellEnd"/>
      <w:r>
        <w:t xml:space="preserve">, M., Casillas, M., </w:t>
      </w:r>
      <w:proofErr w:type="spellStart"/>
      <w:r>
        <w:t>Gornik</w:t>
      </w:r>
      <w:proofErr w:type="spellEnd"/>
      <w:r>
        <w:t xml:space="preserve">, M., Bouchard, A., MacEwan, S., </w:t>
      </w:r>
      <w:proofErr w:type="spellStart"/>
      <w:r>
        <w:t>Shokrkon</w:t>
      </w:r>
      <w:proofErr w:type="spellEnd"/>
      <w:r>
        <w:t xml:space="preserve">, A., &amp; Bunce, J. (2021). English-speaking adults’ labeling of child-and adult-directed speech across languages and its relationship to perception of affect. </w:t>
      </w:r>
      <w:r>
        <w:rPr>
          <w:i/>
        </w:rPr>
        <w:t>Frontiers in</w:t>
      </w:r>
    </w:p>
    <w:p w14:paraId="39E721A9" w14:textId="77777777" w:rsidR="00697AEE" w:rsidRDefault="00000000">
      <w:pPr>
        <w:spacing w:after="172" w:line="259" w:lineRule="auto"/>
        <w:ind w:left="715"/>
      </w:pPr>
      <w:r>
        <w:rPr>
          <w:i/>
        </w:rPr>
        <w:t>Psychology</w:t>
      </w:r>
      <w:r>
        <w:t xml:space="preserve">, </w:t>
      </w:r>
      <w:r>
        <w:rPr>
          <w:i/>
        </w:rPr>
        <w:t>12</w:t>
      </w:r>
      <w:r>
        <w:t>.</w:t>
      </w:r>
    </w:p>
    <w:p w14:paraId="73031AF2" w14:textId="77777777" w:rsidR="00697AEE" w:rsidRDefault="00000000">
      <w:pPr>
        <w:spacing w:after="13" w:line="402" w:lineRule="auto"/>
        <w:ind w:left="715" w:right="-7" w:hanging="730"/>
        <w:jc w:val="both"/>
      </w:pPr>
      <w:r>
        <w:t xml:space="preserve">Sperry, D. E., Sperry, L. L., &amp; Miller, P. J. (2019). Reexamining the verbal environments of children from different socioeconomic backgrounds. </w:t>
      </w:r>
      <w:r>
        <w:rPr>
          <w:i/>
        </w:rPr>
        <w:t>Child Development</w:t>
      </w:r>
      <w:r>
        <w:t xml:space="preserve">, </w:t>
      </w:r>
      <w:r>
        <w:rPr>
          <w:i/>
        </w:rPr>
        <w:t>90</w:t>
      </w:r>
      <w:r>
        <w:t>(4), 1303–1318.</w:t>
      </w:r>
    </w:p>
    <w:p w14:paraId="592DABDA" w14:textId="77777777" w:rsidR="00697AEE" w:rsidRDefault="00000000">
      <w:pPr>
        <w:ind w:left="705" w:right="15" w:hanging="720"/>
      </w:pPr>
      <w:r>
        <w:lastRenderedPageBreak/>
        <w:t>Tamis-</w:t>
      </w:r>
      <w:proofErr w:type="spellStart"/>
      <w:r>
        <w:t>LeMonda</w:t>
      </w:r>
      <w:proofErr w:type="spellEnd"/>
      <w:r>
        <w:t xml:space="preserve">, C. S., Custode, S., </w:t>
      </w:r>
      <w:proofErr w:type="spellStart"/>
      <w:r>
        <w:t>Kuchirko</w:t>
      </w:r>
      <w:proofErr w:type="spellEnd"/>
      <w:r>
        <w:t xml:space="preserve">, Y., Escobar, K., &amp; Lo, T. (2019). Routine language: Speech directed to infants during home activities. </w:t>
      </w:r>
      <w:r>
        <w:rPr>
          <w:i/>
        </w:rPr>
        <w:t>Child Development</w:t>
      </w:r>
      <w:r>
        <w:t>,</w:t>
      </w:r>
    </w:p>
    <w:p w14:paraId="4826A070" w14:textId="77777777" w:rsidR="00697AEE" w:rsidRDefault="00000000">
      <w:pPr>
        <w:spacing w:line="259" w:lineRule="auto"/>
        <w:ind w:left="730" w:right="15"/>
      </w:pPr>
      <w:r>
        <w:rPr>
          <w:i/>
        </w:rPr>
        <w:t>90</w:t>
      </w:r>
      <w:r>
        <w:t>(6), 2135–2152.</w:t>
      </w:r>
      <w:r>
        <w:br w:type="page"/>
      </w:r>
    </w:p>
    <w:p w14:paraId="0CE5C527" w14:textId="77777777" w:rsidR="00697AEE" w:rsidRDefault="00000000">
      <w:pPr>
        <w:pStyle w:val="Heading1"/>
        <w:spacing w:after="157"/>
        <w:ind w:left="-5" w:right="0"/>
        <w:jc w:val="left"/>
      </w:pPr>
      <w:r>
        <w:lastRenderedPageBreak/>
        <w:t>Figure 1</w:t>
      </w:r>
    </w:p>
    <w:p w14:paraId="65C92230" w14:textId="77777777" w:rsidR="00697AEE" w:rsidRDefault="00000000">
      <w:pPr>
        <w:spacing w:after="0" w:line="393" w:lineRule="auto"/>
      </w:pPr>
      <w:r>
        <w:rPr>
          <w:i/>
        </w:rPr>
        <w:t xml:space="preserve">Example set of considerations for contextualizing candidate activities. In this case we compare informal home pedagogy activities in the US and on </w:t>
      </w:r>
      <w:proofErr w:type="spellStart"/>
      <w:r>
        <w:rPr>
          <w:i/>
        </w:rPr>
        <w:t>Rossel</w:t>
      </w:r>
      <w:proofErr w:type="spellEnd"/>
      <w:r>
        <w:rPr>
          <w:i/>
        </w:rPr>
        <w:t xml:space="preserve"> Island (Papua New</w:t>
      </w:r>
    </w:p>
    <w:p w14:paraId="70316E0A" w14:textId="77777777" w:rsidR="00697AEE" w:rsidRDefault="00000000">
      <w:pPr>
        <w:spacing w:after="0" w:line="259" w:lineRule="auto"/>
      </w:pPr>
      <w:r>
        <w:rPr>
          <w:i/>
        </w:rPr>
        <w:t>Guinea).</w:t>
      </w:r>
    </w:p>
    <w:p w14:paraId="33577756" w14:textId="77777777" w:rsidR="00697AEE" w:rsidRDefault="00000000">
      <w:pPr>
        <w:spacing w:after="0" w:line="259" w:lineRule="auto"/>
        <w:ind w:left="8" w:firstLine="0"/>
      </w:pPr>
      <w:r>
        <w:rPr>
          <w:noProof/>
        </w:rPr>
        <w:drawing>
          <wp:inline distT="0" distB="0" distL="0" distR="0" wp14:anchorId="5395311B" wp14:editId="1D89CCF3">
            <wp:extent cx="5883910" cy="4596511"/>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8"/>
                    <a:stretch>
                      <a:fillRect/>
                    </a:stretch>
                  </pic:blipFill>
                  <pic:spPr>
                    <a:xfrm>
                      <a:off x="0" y="0"/>
                      <a:ext cx="5883910" cy="4596511"/>
                    </a:xfrm>
                    <a:prstGeom prst="rect">
                      <a:avLst/>
                    </a:prstGeom>
                  </pic:spPr>
                </pic:pic>
              </a:graphicData>
            </a:graphic>
          </wp:inline>
        </w:drawing>
      </w:r>
    </w:p>
    <w:p w14:paraId="31F3C3FE" w14:textId="77777777" w:rsidR="00CE6E1D" w:rsidRDefault="00CE6E1D">
      <w:pPr>
        <w:spacing w:after="0" w:line="240" w:lineRule="auto"/>
        <w:ind w:left="0" w:firstLine="0"/>
        <w:rPr>
          <w:b/>
        </w:rPr>
      </w:pPr>
      <w:r>
        <w:br w:type="page"/>
      </w:r>
    </w:p>
    <w:p w14:paraId="3D89E1E7" w14:textId="5226B4D2" w:rsidR="00697AEE" w:rsidRDefault="00000000">
      <w:pPr>
        <w:pStyle w:val="Heading1"/>
        <w:spacing w:after="157"/>
        <w:ind w:left="-5" w:right="0"/>
        <w:jc w:val="left"/>
      </w:pPr>
      <w:r>
        <w:lastRenderedPageBreak/>
        <w:t>Figure 2</w:t>
      </w:r>
    </w:p>
    <w:p w14:paraId="6DAC3594" w14:textId="77777777" w:rsidR="00697AEE" w:rsidRDefault="00000000">
      <w:pPr>
        <w:spacing w:after="0" w:line="393" w:lineRule="auto"/>
      </w:pPr>
      <w:r>
        <w:rPr>
          <w:i/>
        </w:rPr>
        <w:t>Data preparation and expected resource investment for systematic annotation of language events in daylong data.</w:t>
      </w:r>
    </w:p>
    <w:p w14:paraId="029066BB" w14:textId="77777777" w:rsidR="00697AEE" w:rsidRDefault="00000000">
      <w:pPr>
        <w:spacing w:after="0" w:line="259" w:lineRule="auto"/>
        <w:ind w:left="8" w:firstLine="0"/>
      </w:pPr>
      <w:r>
        <w:rPr>
          <w:noProof/>
        </w:rPr>
        <w:drawing>
          <wp:inline distT="0" distB="0" distL="0" distR="0" wp14:anchorId="4A884E95" wp14:editId="6A3B8ED5">
            <wp:extent cx="5884005" cy="1967995"/>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9"/>
                    <a:stretch>
                      <a:fillRect/>
                    </a:stretch>
                  </pic:blipFill>
                  <pic:spPr>
                    <a:xfrm>
                      <a:off x="0" y="0"/>
                      <a:ext cx="5884005" cy="1967995"/>
                    </a:xfrm>
                    <a:prstGeom prst="rect">
                      <a:avLst/>
                    </a:prstGeom>
                  </pic:spPr>
                </pic:pic>
              </a:graphicData>
            </a:graphic>
          </wp:inline>
        </w:drawing>
      </w:r>
    </w:p>
    <w:sectPr w:rsidR="00697AEE">
      <w:headerReference w:type="even" r:id="rId10"/>
      <w:headerReference w:type="default" r:id="rId11"/>
      <w:headerReference w:type="first" r:id="rId12"/>
      <w:pgSz w:w="12240" w:h="15840"/>
      <w:pgMar w:top="1504" w:right="1440" w:bottom="1330" w:left="1440" w:header="75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3F294" w14:textId="77777777" w:rsidR="00BC44A6" w:rsidRDefault="00BC44A6">
      <w:pPr>
        <w:spacing w:after="0" w:line="240" w:lineRule="auto"/>
      </w:pPr>
      <w:r>
        <w:separator/>
      </w:r>
    </w:p>
  </w:endnote>
  <w:endnote w:type="continuationSeparator" w:id="0">
    <w:p w14:paraId="2CB8C6AD" w14:textId="77777777" w:rsidR="00BC44A6" w:rsidRDefault="00BC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E4717" w14:textId="77777777" w:rsidR="00BC44A6" w:rsidRDefault="00BC44A6">
      <w:pPr>
        <w:spacing w:after="0" w:line="439" w:lineRule="auto"/>
        <w:ind w:left="0" w:firstLine="0"/>
        <w:jc w:val="both"/>
      </w:pPr>
      <w:r>
        <w:separator/>
      </w:r>
    </w:p>
  </w:footnote>
  <w:footnote w:type="continuationSeparator" w:id="0">
    <w:p w14:paraId="1AAD9D55" w14:textId="77777777" w:rsidR="00BC44A6" w:rsidRDefault="00BC44A6">
      <w:pPr>
        <w:spacing w:after="0" w:line="439" w:lineRule="auto"/>
        <w:ind w:left="0" w:firstLine="0"/>
        <w:jc w:val="both"/>
      </w:pPr>
      <w:r>
        <w:continuationSeparator/>
      </w:r>
    </w:p>
  </w:footnote>
  <w:footnote w:id="1">
    <w:p w14:paraId="542D3DE6" w14:textId="77777777" w:rsidR="00697AEE" w:rsidRPr="006C5C08" w:rsidRDefault="00000000">
      <w:pPr>
        <w:pStyle w:val="footnotedescription"/>
        <w:spacing w:line="439" w:lineRule="auto"/>
        <w:jc w:val="both"/>
        <w:rPr>
          <w:sz w:val="24"/>
        </w:rPr>
      </w:pPr>
      <w:r w:rsidRPr="006C5C08">
        <w:rPr>
          <w:rStyle w:val="footnotemark"/>
          <w:sz w:val="24"/>
        </w:rPr>
        <w:footnoteRef/>
      </w:r>
      <w:r w:rsidRPr="006C5C08">
        <w:rPr>
          <w:sz w:val="24"/>
        </w:rPr>
        <w:t xml:space="preserve"> Unless referring specifically to speech, I use the terms child- and adult-directed ‘language’ (CDL/ADL) to refer to spontaneous language use.</w:t>
      </w:r>
    </w:p>
  </w:footnote>
  <w:footnote w:id="2">
    <w:p w14:paraId="66AC77C5" w14:textId="77777777" w:rsidR="00697AEE" w:rsidRPr="006C5C08" w:rsidRDefault="00000000">
      <w:pPr>
        <w:pStyle w:val="footnotedescription"/>
        <w:spacing w:line="464" w:lineRule="auto"/>
        <w:rPr>
          <w:sz w:val="24"/>
        </w:rPr>
      </w:pPr>
      <w:r w:rsidRPr="006C5C08">
        <w:rPr>
          <w:rStyle w:val="footnotemark"/>
          <w:sz w:val="24"/>
        </w:rPr>
        <w:footnoteRef/>
      </w:r>
      <w:r w:rsidRPr="006C5C08">
        <w:rPr>
          <w:sz w:val="24"/>
        </w:rPr>
        <w:t xml:space="preserve"> Large cross-corpus analyses of “small data” were ongoing long before then, largely thanks to CHILDES (MacWhinney, 2000).</w:t>
      </w:r>
    </w:p>
  </w:footnote>
  <w:footnote w:id="3">
    <w:p w14:paraId="017BAAE5" w14:textId="77777777" w:rsidR="00697AEE" w:rsidRPr="006C5C08" w:rsidRDefault="00000000">
      <w:pPr>
        <w:pStyle w:val="footnotedescription"/>
        <w:rPr>
          <w:sz w:val="24"/>
        </w:rPr>
      </w:pPr>
      <w:r w:rsidRPr="006C5C08">
        <w:rPr>
          <w:rStyle w:val="footnotemark"/>
          <w:sz w:val="24"/>
        </w:rPr>
        <w:footnoteRef/>
      </w:r>
      <w:r w:rsidRPr="006C5C08">
        <w:rPr>
          <w:sz w:val="24"/>
        </w:rPr>
        <w:t xml:space="preserve"> Annotations </w:t>
      </w:r>
      <w:proofErr w:type="gramStart"/>
      <w:r w:rsidRPr="006C5C08">
        <w:rPr>
          <w:sz w:val="24"/>
        </w:rPr>
        <w:t>include:</w:t>
      </w:r>
      <w:proofErr w:type="gramEnd"/>
      <w:r w:rsidRPr="006C5C08">
        <w:rPr>
          <w:sz w:val="24"/>
        </w:rPr>
        <w:t xml:space="preserve"> when basic speaker types (woman, man, key child, other child) are talking, when the child and a nearby adult talk one after the other, and high-level speech content estimates (e.g., number of nearby adult words). Open-source alternatives somewhat improve this outlook (see Räsänen et al., 2021)</w:t>
      </w:r>
    </w:p>
  </w:footnote>
  <w:footnote w:id="4">
    <w:p w14:paraId="40FA907A" w14:textId="36C7B6BC" w:rsidR="00697AEE" w:rsidRPr="006C5C08" w:rsidRDefault="00000000" w:rsidP="006C5C08">
      <w:pPr>
        <w:pStyle w:val="footnotedescription"/>
        <w:spacing w:after="207" w:line="360" w:lineRule="auto"/>
        <w:rPr>
          <w:sz w:val="24"/>
        </w:rPr>
      </w:pPr>
      <w:r w:rsidRPr="006C5C08">
        <w:rPr>
          <w:rStyle w:val="footnotemark"/>
          <w:sz w:val="24"/>
        </w:rPr>
        <w:footnoteRef/>
      </w:r>
      <w:r w:rsidRPr="006C5C08">
        <w:rPr>
          <w:sz w:val="24"/>
        </w:rPr>
        <w:t xml:space="preserve"> Current automated tools can indicate two activities: nearby electronic noise (e.g., TVs) and infant sleep</w:t>
      </w:r>
      <w:r w:rsidR="006C5C08">
        <w:rPr>
          <w:sz w:val="24"/>
        </w:rPr>
        <w:t xml:space="preserve"> </w:t>
      </w:r>
      <w:r w:rsidRPr="006C5C08">
        <w:rPr>
          <w:sz w:val="24"/>
        </w:rPr>
        <w:t>(Bang et al., 2021; Greenwood et al., 2011)</w:t>
      </w:r>
      <w:r w:rsidR="006C5C08">
        <w:rPr>
          <w:sz w:val="24"/>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6189C" w14:textId="77777777" w:rsidR="00697AEE" w:rsidRDefault="00000000">
    <w:pPr>
      <w:tabs>
        <w:tab w:val="right" w:pos="9360"/>
      </w:tabs>
      <w:spacing w:after="0" w:line="259" w:lineRule="auto"/>
      <w:ind w:left="0" w:firstLine="0"/>
    </w:pPr>
    <w:r>
      <w:t xml:space="preserve">LEARNING LANGUAGE </w:t>
    </w:r>
    <w:r>
      <w:rPr>
        <w:i/>
      </w:rPr>
      <w:t>IN VIVO</w:t>
    </w:r>
    <w:r>
      <w:rPr>
        <w:i/>
      </w:rP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FCA20" w14:textId="77777777" w:rsidR="00697AEE" w:rsidRDefault="00000000">
    <w:pPr>
      <w:tabs>
        <w:tab w:val="right" w:pos="9360"/>
      </w:tabs>
      <w:spacing w:after="0" w:line="259" w:lineRule="auto"/>
      <w:ind w:left="0" w:firstLine="0"/>
    </w:pPr>
    <w:r>
      <w:t xml:space="preserve">LEARNING LANGUAGE </w:t>
    </w:r>
    <w:r>
      <w:rPr>
        <w:i/>
      </w:rPr>
      <w:t>IN VIVO</w:t>
    </w:r>
    <w:r>
      <w:rPr>
        <w:i/>
      </w:rP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1AE2C" w14:textId="77777777" w:rsidR="00697AEE" w:rsidRDefault="00000000">
    <w:pPr>
      <w:tabs>
        <w:tab w:val="right" w:pos="9360"/>
      </w:tabs>
      <w:spacing w:after="0" w:line="259" w:lineRule="auto"/>
      <w:ind w:left="0" w:firstLine="0"/>
    </w:pPr>
    <w:r>
      <w:t xml:space="preserve">LEARNING LANGUAGE </w:t>
    </w:r>
    <w:r>
      <w:rPr>
        <w:i/>
      </w:rPr>
      <w:t>IN VIVO</w:t>
    </w:r>
    <w:r>
      <w:rPr>
        <w:i/>
      </w:rPr>
      <w:tab/>
    </w:r>
    <w:r>
      <w:fldChar w:fldCharType="begin"/>
    </w:r>
    <w:r>
      <w:instrText xml:space="preserve"> PAGE   \* MERGEFORMAT </w:instrText>
    </w:r>
    <w:r>
      <w:fldChar w:fldCharType="separate"/>
    </w:r>
    <w: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EE"/>
    <w:rsid w:val="0017008B"/>
    <w:rsid w:val="004A3717"/>
    <w:rsid w:val="00697AEE"/>
    <w:rsid w:val="006C5C08"/>
    <w:rsid w:val="0099217D"/>
    <w:rsid w:val="00AD1A15"/>
    <w:rsid w:val="00B35672"/>
    <w:rsid w:val="00BC44A6"/>
    <w:rsid w:val="00CE6E1D"/>
    <w:rsid w:val="00F97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F477A5"/>
  <w15:docId w15:val="{A99DC31E-10F2-E641-800A-BD6AEB7C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403"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312" w:line="265" w:lineRule="auto"/>
      <w:ind w:left="10" w:right="8" w:hanging="10"/>
      <w:jc w:val="center"/>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468" w:line="272" w:lineRule="auto"/>
      <w:ind w:left="10" w:hanging="10"/>
      <w:outlineLvl w:val="1"/>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i/>
      <w:color w:val="000000"/>
      <w:sz w:val="24"/>
    </w:rPr>
  </w:style>
  <w:style w:type="paragraph" w:customStyle="1" w:styleId="footnotedescription">
    <w:name w:val="footnote description"/>
    <w:next w:val="Normal"/>
    <w:link w:val="footnotedescriptionChar"/>
    <w:hidden/>
    <w:pPr>
      <w:spacing w:line="415" w:lineRule="auto"/>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footnotemark">
    <w:name w:val="footnote mark"/>
    <w:hidden/>
    <w:rPr>
      <w:rFonts w:ascii="Calibri" w:eastAsia="Calibri" w:hAnsi="Calibri" w:cs="Calibri"/>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i.org/10.1017/S0305000900000313"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i.org/10.31234/osf.io/723pr" TargetMode="External"/><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4516</Words>
  <Characters>25745</Characters>
  <Application>Microsoft Office Word</Application>
  <DocSecurity>0</DocSecurity>
  <Lines>214</Lines>
  <Paragraphs>60</Paragraphs>
  <ScaleCrop>false</ScaleCrop>
  <Company/>
  <LinksUpToDate>false</LinksUpToDate>
  <CharactersWithSpaces>30201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 Casillas</dc:creator>
  <cp:keywords/>
  <cp:lastModifiedBy>Marisa Casillas</cp:lastModifiedBy>
  <cp:revision>8</cp:revision>
  <dcterms:created xsi:type="dcterms:W3CDTF">2022-07-01T16:38:00Z</dcterms:created>
  <dcterms:modified xsi:type="dcterms:W3CDTF">2022-07-01T17:16:00Z</dcterms:modified>
</cp:coreProperties>
</file>