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7.png" ContentType="image/png"/>
  <Override PartName="/word/media/rId40.png" ContentType="image/png"/>
  <Override PartName="/word/media/rId42.png" ContentType="image/png"/>
  <Override PartName="/word/media/rId41.png" ContentType="image/png"/>
  <Override PartName="/word/media/rId27.png" ContentType="image/png"/>
  <Override PartName="/word/media/rId29.png" ContentType="image/png"/>
  <Override PartName="/word/media/rId28.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Supplementary Materials: Early language experience in a Papuan community</w:t>
      </w:r>
    </w:p>
    <w:p>
      <w:pPr>
        <w:pStyle w:val="berschrift1"/>
      </w:pPr>
      <w:bookmarkStart w:id="23" w:name="models"/>
      <w:bookmarkEnd w:id="23"/>
      <w:r>
        <w:t xml:space="preserve">Full model outputs</w:t>
      </w:r>
    </w:p>
    <w:p>
      <w:pPr>
        <w:pStyle w:val="FirstParagraph"/>
      </w:pPr>
      <w:r>
        <w:t xml:space="preserve">In these Supplementary Materials we give the full model output tables for each analysis in the main text, including re-leveled versions of each model to show all three of the two-way contrasts between the three-level time-of-day factor (i.e., morning vs. midday, morning vs. afternoon, and midday vs. afternoon) as well as, for each of the measures, a histogram showing how each variable is distributed (i.e., because they are non-normal and/or zero-inflated) and a figure showing the distribution of model residuals. For every negative binomial model, we also include the full model output table and residual plots for matching gaussian mixed-effects regressions which use a log-transformed dependent measure. Such gaussian models with log-transformed measures are an alternative solution to analyzing non-normal distributions sometimes used in psycholinguistics, but are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w:t>
      </w:r>
      <w:r>
        <w:t xml:space="preserve"> </w:t>
      </w:r>
      <w:hyperlink w:anchor="fig10">
        <w:r>
          <w:rPr>
            <w:rStyle w:val="Hyperlink"/>
          </w:rPr>
          <w:t xml:space="preserve">10</w:t>
        </w:r>
      </w:hyperlink>
      <w:r>
        <w:t xml:space="preserve">,</w:t>
      </w:r>
      <w:r>
        <w:t xml:space="preserve"> </w:t>
      </w:r>
      <w:hyperlink w:anchor="fig13">
        <w:r>
          <w:rPr>
            <w:rStyle w:val="Hyperlink"/>
          </w:rPr>
          <w:t xml:space="preserve">13</w:t>
        </w:r>
      </w:hyperlink>
      <w:r>
        <w:t xml:space="preserve">,</w:t>
      </w:r>
      <w:r>
        <w:t xml:space="preserve"> </w:t>
      </w:r>
      <w:hyperlink w:anchor="fig19">
        <w:r>
          <w:rPr>
            <w:rStyle w:val="Hyperlink"/>
          </w:rPr>
          <w:t xml:space="preserve">19</w:t>
        </w:r>
      </w:hyperlink>
      <w:r>
        <w:t xml:space="preserve">). Overall, the gaussian models show a qualitatively similar pattern of results. These analyses are structured as identically as possible to those in Casillas and colleagues'</w:t>
      </w:r>
      <w:r>
        <w:t xml:space="preserve"> </w:t>
      </w:r>
      <w:r>
        <w:t xml:space="preserve">(2019)</w:t>
      </w:r>
      <w:r>
        <w:t xml:space="preserve"> </w:t>
      </w:r>
      <w:r>
        <w:t xml:space="preserve">study on Tseltal Mayan child language environments.</w:t>
      </w:r>
    </w:p>
    <w:p>
      <w:pPr>
        <w:pStyle w:val="berschrift2"/>
      </w:pPr>
      <w:bookmarkStart w:id="24" w:name="how-to-interpret-the-model-output"/>
      <w:bookmarkEnd w:id="24"/>
      <w:r>
        <w:t xml:space="preserve">How to interpret the model output</w:t>
      </w:r>
    </w:p>
    <w:p>
      <w:pPr>
        <w:pStyle w:val="FirstParagraph"/>
      </w:pPr>
      <w:r>
        <w:t xml:space="preserve">All models were run with the glmm-TMB library in R</w:t>
      </w:r>
      <w:r>
        <w:t xml:space="preserve"> </w:t>
      </w:r>
      <w:r>
        <w:t xml:space="preserve">(Brooks et al., 2017a, 2017b)</w:t>
      </w:r>
      <w:r>
        <w:t xml:space="preserve">. Note that, in the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 ':' separator between predictor names (e.g., tchiyr.std:nsk.std = a two-way interaction of target child age and number of speakers present).</w:t>
      </w:r>
    </w:p>
    <w:p>
      <w:pPr>
        <w:pStyle w:val="Textkrper"/>
      </w:pPr>
      <w:r>
        <w:t xml:space="preserve">In each model output table, the "component" shows what kind of model the estimate derives from (e.g., the zero-inflated models include both a conditional "cond" set of predictors, random effects, and zero-inflation "zi" predictors). The "term" is the estimated predictor. The "statistic" 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online at URL-OMITTED-FOR-REVIEW</w:t>
      </w:r>
      <w:r>
        <w:t xml:space="preserve">.</w:t>
      </w:r>
    </w:p>
    <w:p>
      <w:pPr>
        <w:pStyle w:val="berschrift2"/>
      </w:pPr>
      <w:bookmarkStart w:id="25" w:name="models-tcds"/>
      <w:bookmarkEnd w:id="25"/>
      <w:r>
        <w:t xml:space="preserve">Target-child-directed speech (TCDS)</w:t>
      </w:r>
    </w:p>
    <w:p>
      <w:pPr>
        <w:pStyle w:val="berschrift3"/>
      </w:pPr>
      <w:bookmarkStart w:id="26" w:name="models-tcds-random"/>
      <w:bookmarkEnd w:id="26"/>
      <w:r>
        <w:t xml:space="preserve">Random clips</w:t>
      </w:r>
    </w:p>
    <w:p>
      <w:pPr>
        <w:pStyle w:val="FirstParagraph"/>
      </w:pPr>
      <w:r>
        <w:t xml:space="preserve">TCDS rate in the random clips demonstrated a skewed distribution with extra cases of zero (</w:t>
      </w:r>
      <w:hyperlink w:anchor="fig1">
        <w:r>
          <w:rPr>
            <w:rStyle w:val="Hyperlink"/>
          </w:rPr>
          <w:t xml:space="preserve">Figure 1</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
        <w:r>
          <w:rPr>
            <w:rStyle w:val="Hyperlink"/>
          </w:rPr>
          <w:t xml:space="preserve">Table 1</w:t>
        </w:r>
      </w:hyperlink>
      <w:r>
        <w:t xml:space="preserve"> </w:t>
      </w:r>
      <w:r>
        <w:t xml:space="preserve">and</w:t>
      </w:r>
      <w:r>
        <w:t xml:space="preserve"> </w:t>
      </w:r>
      <w:hyperlink w:anchor="tab2">
        <w:r>
          <w:rPr>
            <w:rStyle w:val="Hyperlink"/>
          </w:rPr>
          <w:t xml:space="preserve">Table 2</w:t>
        </w:r>
      </w:hyperlink>
      <w:r>
        <w:t xml:space="preserve">. The residuals for the default model (</w:t>
      </w:r>
      <w:hyperlink w:anchor="tab1">
        <w:r>
          <w:rPr>
            <w:rStyle w:val="Hyperlink"/>
          </w:rPr>
          <w:t xml:space="preserve">Table 1</w:t>
        </w:r>
      </w:hyperlink>
      <w:r>
        <w:t xml:space="preserve">) are shown in</w:t>
      </w:r>
      <w:r>
        <w:t xml:space="preserve"> </w:t>
      </w:r>
      <w:hyperlink w:anchor="fig2">
        <w:r>
          <w:rPr>
            <w:rStyle w:val="Hyperlink"/>
          </w:rPr>
          <w:t xml:space="preserve">Figure 2</w:t>
        </w:r>
      </w:hyperlink>
      <w:r>
        <w:t xml:space="preserve">.</w:t>
      </w:r>
    </w:p>
    <w:p>
      <w:pPr>
        <w:pStyle w:val="Textkrper"/>
      </w:pPr>
    </w:p>
    <w:p>
      <w:pPr>
        <w:pStyle w:val="FigureWithCaption"/>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7"/>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The distribution of TCDS rates found across the 90 random clips.</w:t>
      </w:r>
    </w:p>
    <w:p>
      <w:pPr>
        <w:pStyle w:val="Textkrper"/>
      </w:pPr>
    </w:p>
    <w:p>
      <w:pPr>
        <w:pStyle w:val="Compact"/>
      </w:pPr>
      <w:r>
        <w:t xml:space="preserve">Table 1:</w:t>
      </w:r>
    </w:p>
    <w:p>
      <w:pPr>
        <w:pStyle w:val="Compact"/>
      </w:pPr>
      <w:r>
        <w:rPr>
          <w:i/>
        </w:rPr>
        <w:t xml:space="preserve">Full output of the zero-inflated negative binomial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0.69</w:t>
            </w:r>
          </w:p>
        </w:tc>
        <w:tc>
          <w:p>
            <w:pPr>
              <w:pStyle w:val="Compact"/>
              <w:jc w:val="left"/>
            </w:pPr>
            <w:r>
              <w:t xml:space="preserve">0.32</w:t>
            </w:r>
          </w:p>
        </w:tc>
        <w:tc>
          <w:p>
            <w:pPr>
              <w:pStyle w:val="Compact"/>
              <w:jc w:val="left"/>
            </w:pPr>
            <w:r>
              <w:t xml:space="preserve">2.16</w:t>
            </w:r>
          </w:p>
        </w:tc>
        <w:tc>
          <w:p>
            <w:pPr>
              <w:pStyle w:val="Compact"/>
              <w:jc w:val="left"/>
            </w:pPr>
            <w:r>
              <w:t xml:space="preserve">0.03</w:t>
            </w:r>
          </w:p>
        </w:tc>
      </w:tr>
      <w:tr>
        <w:tc>
          <w:p>
            <w:pPr>
              <w:pStyle w:val="Compact"/>
              <w:jc w:val="left"/>
            </w:pPr>
            <w:r>
              <w:t xml:space="preserve">cond</w:t>
            </w:r>
          </w:p>
        </w:tc>
        <w:tc>
          <w:p>
            <w:pPr>
              <w:pStyle w:val="Compact"/>
              <w:jc w:val="left"/>
            </w:pPr>
            <w:r>
              <w:t xml:space="preserve">tchiyr.std</w:t>
            </w:r>
          </w:p>
        </w:tc>
        <w:tc>
          <w:p>
            <w:pPr>
              <w:pStyle w:val="Compact"/>
              <w:jc w:val="left"/>
            </w:pPr>
            <w:r>
              <w:t xml:space="preserve">0.73</w:t>
            </w:r>
          </w:p>
        </w:tc>
        <w:tc>
          <w:p>
            <w:pPr>
              <w:pStyle w:val="Compact"/>
              <w:jc w:val="left"/>
            </w:pPr>
            <w:r>
              <w:t xml:space="preserve">0.23</w:t>
            </w:r>
          </w:p>
        </w:tc>
        <w:tc>
          <w:p>
            <w:pPr>
              <w:pStyle w:val="Compact"/>
              <w:jc w:val="left"/>
            </w:pPr>
            <w:r>
              <w:t xml:space="preserve">3.20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0.80</w:t>
            </w:r>
          </w:p>
        </w:tc>
        <w:tc>
          <w:p>
            <w:pPr>
              <w:pStyle w:val="Compact"/>
              <w:jc w:val="left"/>
            </w:pPr>
            <w:r>
              <w:t xml:space="preserve">0.36</w:t>
            </w:r>
          </w:p>
        </w:tc>
        <w:tc>
          <w:p>
            <w:pPr>
              <w:pStyle w:val="Compact"/>
              <w:jc w:val="left"/>
            </w:pPr>
            <w:r>
              <w:t xml:space="preserve">2.23</w:t>
            </w:r>
          </w:p>
        </w:tc>
        <w:tc>
          <w:p>
            <w:pPr>
              <w:pStyle w:val="Compact"/>
              <w:jc w:val="left"/>
            </w:pPr>
            <w:r>
              <w:t xml:space="preserve">0.03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-0.59</w:t>
            </w:r>
          </w:p>
        </w:tc>
        <w:tc>
          <w:p>
            <w:pPr>
              <w:pStyle w:val="Compact"/>
              <w:jc w:val="left"/>
            </w:pPr>
            <w:r>
              <w:t xml:space="preserve">0.30</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Pr>
      <w:r>
        <w:rPr>
          <w:i/>
        </w:rPr>
        <w:t xml:space="preserve">Full output of the zero-inflated negative binomial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0.95</w:t>
            </w:r>
          </w:p>
        </w:tc>
        <w:tc>
          <w:p>
            <w:pPr>
              <w:pStyle w:val="Compact"/>
              <w:jc w:val="left"/>
            </w:pPr>
            <w:r>
              <w:t xml:space="preserve">0.19</w:t>
            </w:r>
          </w:p>
        </w:tc>
        <w:tc>
          <w:p>
            <w:pPr>
              <w:pStyle w:val="Compact"/>
              <w:jc w:val="left"/>
            </w:pPr>
            <w:r>
              <w:t xml:space="preserve">4.99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0.54</w:t>
            </w:r>
          </w:p>
        </w:tc>
        <w:tc>
          <w:p>
            <w:pPr>
              <w:pStyle w:val="Compact"/>
              <w:jc w:val="left"/>
            </w:pPr>
            <w:r>
              <w:t xml:space="preserve">0.26</w:t>
            </w:r>
          </w:p>
        </w:tc>
        <w:tc>
          <w:p>
            <w:pPr>
              <w:pStyle w:val="Compact"/>
              <w:jc w:val="left"/>
            </w:pPr>
            <w:r>
              <w:t xml:space="preserve">2.10</w:t>
            </w:r>
          </w:p>
        </w:tc>
        <w:tc>
          <w:p>
            <w:pPr>
              <w:pStyle w:val="Compact"/>
              <w:jc w:val="left"/>
            </w:pPr>
            <w:r>
              <w:t xml:space="preserve">0.04</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0.01</w:t>
            </w:r>
          </w:p>
        </w:tc>
        <w:tc>
          <w:p>
            <w:pPr>
              <w:pStyle w:val="Compact"/>
              <w:jc w:val="left"/>
            </w:pPr>
            <w:r>
              <w:t xml:space="preserve">0.27</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The model residuals from the zero-inflated negative binomial mixed-effects regression of TCDS min/hr for the random sample.</w:t>
      </w:r>
    </w:p>
    <w:p>
      <w:pPr>
        <w:pStyle w:val="Textkrper"/>
      </w:pPr>
      <w:r>
        <w:t xml:space="preserve">As an alternative analysis we generated parallel models of TCDS rate in the random clips using gaussian mixed-effects regression with log-transformed values of TCDS: results for the two models demonstrating all pairwise effects of time of day are shown in</w:t>
      </w:r>
      <w:r>
        <w:t xml:space="preserve"> </w:t>
      </w:r>
      <w:hyperlink w:anchor="tab3">
        <w:r>
          <w:rPr>
            <w:rStyle w:val="Hyperlink"/>
          </w:rPr>
          <w:t xml:space="preserve">Table 3</w:t>
        </w:r>
      </w:hyperlink>
      <w:r>
        <w:t xml:space="preserve"> </w:t>
      </w:r>
      <w:r>
        <w:t xml:space="preserve">and</w:t>
      </w:r>
      <w:r>
        <w:t xml:space="preserve"> </w:t>
      </w:r>
      <w:hyperlink w:anchor="tab4">
        <w:r>
          <w:rPr>
            <w:rStyle w:val="Hyperlink"/>
          </w:rPr>
          <w:t xml:space="preserve">Table 4</w:t>
        </w:r>
      </w:hyperlink>
      <w:r>
        <w:t xml:space="preserve">. The residuals for the default gaussian model (</w:t>
      </w:r>
      <w:hyperlink w:anchor="tab3">
        <w:r>
          <w:rPr>
            <w:rStyle w:val="Hyperlink"/>
          </w:rPr>
          <w:t xml:space="preserve">Table 3</w:t>
        </w:r>
      </w:hyperlink>
      <w:r>
        <w:t xml:space="preserve">) are shown in</w:t>
      </w:r>
      <w:r>
        <w:t xml:space="preserve"> </w:t>
      </w:r>
      <w:hyperlink w:anchor="fig3">
        <w:r>
          <w:rPr>
            <w:rStyle w:val="Hyperlink"/>
          </w:rPr>
          <w:t xml:space="preserve">Figure 3</w:t>
        </w:r>
      </w:hyperlink>
      <w:r>
        <w:t xml:space="preserve">.</w:t>
      </w:r>
    </w:p>
    <w:p>
      <w:pPr>
        <w:pStyle w:val="Textkrper"/>
      </w:pPr>
    </w:p>
    <w:p>
      <w:pPr>
        <w:pStyle w:val="Compact"/>
      </w:pPr>
      <w:r>
        <w:t xml:space="preserve">Table 3:</w:t>
      </w:r>
    </w:p>
    <w:p>
      <w:pPr>
        <w:pStyle w:val="Compact"/>
      </w:pPr>
      <w:r>
        <w:rPr>
          <w:i/>
        </w:rPr>
        <w:t xml:space="preserve">Full output of the gaussian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0.89</w:t>
            </w:r>
          </w:p>
        </w:tc>
        <w:tc>
          <w:p>
            <w:pPr>
              <w:pStyle w:val="Compact"/>
              <w:jc w:val="left"/>
            </w:pPr>
            <w:r>
              <w:t xml:space="preserve">0.18</w:t>
            </w:r>
          </w:p>
        </w:tc>
        <w:tc>
          <w:p>
            <w:pPr>
              <w:pStyle w:val="Compact"/>
              <w:jc w:val="left"/>
            </w:pPr>
            <w:r>
              <w:t xml:space="preserve">5.04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0.17</w:t>
            </w:r>
          </w:p>
        </w:tc>
        <w:tc>
          <w:p>
            <w:pPr>
              <w:pStyle w:val="Compact"/>
              <w:jc w:val="left"/>
            </w:pPr>
            <w:r>
              <w:t xml:space="preserve">2.80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0.40</w:t>
            </w:r>
          </w:p>
        </w:tc>
        <w:tc>
          <w:p>
            <w:pPr>
              <w:pStyle w:val="Compact"/>
              <w:jc w:val="left"/>
            </w:pPr>
            <w:r>
              <w:t xml:space="preserve">0.24</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-0.39</w:t>
            </w:r>
          </w:p>
        </w:tc>
        <w:tc>
          <w:p>
            <w:pPr>
              <w:pStyle w:val="Compact"/>
              <w:jc w:val="left"/>
            </w:pPr>
            <w:r>
              <w:t xml:space="preserve">0.25</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Pr>
      <w:r>
        <w:rPr>
          <w:i/>
        </w:rPr>
        <w:t xml:space="preserve">Full output of the gaussian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0.98</w:t>
            </w:r>
          </w:p>
        </w:tc>
        <w:tc>
          <w:p>
            <w:pPr>
              <w:pStyle w:val="Compact"/>
              <w:jc w:val="left"/>
            </w:pPr>
            <w:r>
              <w:t xml:space="preserve">0.12</w:t>
            </w:r>
          </w:p>
        </w:tc>
        <w:tc>
          <w:p>
            <w:pPr>
              <w:pStyle w:val="Compact"/>
              <w:jc w:val="left"/>
            </w:pPr>
            <w:r>
              <w:t xml:space="preserve">8.11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0.13</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0.31</w:t>
            </w:r>
          </w:p>
        </w:tc>
        <w:tc>
          <w:p>
            <w:pPr>
              <w:pStyle w:val="Compact"/>
              <w:jc w:val="left"/>
            </w:pPr>
            <w:r>
              <w:t xml:space="preserve">0.20</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0.02</w:t>
            </w:r>
          </w:p>
        </w:tc>
        <w:tc>
          <w:p>
            <w:pPr>
              <w:pStyle w:val="Compact"/>
              <w:jc w:val="left"/>
            </w:pPr>
            <w:r>
              <w:t xml:space="preserve">0.22</w:t>
            </w:r>
          </w:p>
        </w:tc>
        <w:tc>
          <w:p>
            <w:pPr>
              <w:pStyle w:val="Compact"/>
              <w:jc w:val="left"/>
            </w:pPr>
            <w:r>
              <w:t xml:space="preserve">0.10</w:t>
            </w:r>
          </w:p>
        </w:tc>
        <w:tc>
          <w:p>
            <w:pPr>
              <w:pStyle w:val="Compact"/>
              <w:jc w:val="left"/>
            </w:pPr>
            <w:r>
              <w:t xml:space="preserve">0.92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The model residuals from the gaussian mixed-effects regression of TCDS min/hr for the random sample.</w:t>
      </w:r>
    </w:p>
    <w:p>
      <w:pPr>
        <w:pStyle w:val="Textkrper"/>
      </w:pPr>
    </w:p>
    <w:p>
      <w:pPr>
        <w:pStyle w:val="berschrift3"/>
      </w:pPr>
      <w:bookmarkStart w:id="30" w:name="models-tcds-turntaking"/>
      <w:bookmarkEnd w:id="30"/>
      <w:r>
        <w:t xml:space="preserve">Turn-taking clips</w:t>
      </w:r>
    </w:p>
    <w:p>
      <w:pPr>
        <w:pStyle w:val="FirstParagraph"/>
      </w:pPr>
      <w:r>
        <w:t xml:space="preserve">TCDS rate in the turn-taking clips demonstrated a slightly skewed, but unimodal distribution</w:t>
      </w:r>
      <w:r>
        <w:t xml:space="preserve"> </w:t>
      </w:r>
      <w:hyperlink w:anchor="fig4">
        <w:r>
          <w:rPr>
            <w:rStyle w:val="Hyperlink"/>
          </w:rPr>
          <w:t xml:space="preserve">Figure 4</w:t>
        </w:r>
      </w:hyperlink>
      <w:r>
        <w:t xml:space="preserve">. We therefore modeled it using a plain (i.e., non-zero-inflated) negative binomial mixed-effects regression in the main text: results for the two models demonstrating all pairwise effects of time of day are shown in</w:t>
      </w:r>
      <w:r>
        <w:t xml:space="preserve"> </w:t>
      </w:r>
      <w:hyperlink w:anchor="tab5">
        <w:r>
          <w:rPr>
            <w:rStyle w:val="Hyperlink"/>
          </w:rPr>
          <w:t xml:space="preserve">Table 5</w:t>
        </w:r>
      </w:hyperlink>
      <w:r>
        <w:t xml:space="preserve"> </w:t>
      </w:r>
      <w:r>
        <w:t xml:space="preserve">and</w:t>
      </w:r>
      <w:r>
        <w:t xml:space="preserve"> </w:t>
      </w:r>
      <w:hyperlink w:anchor="tab6">
        <w:r>
          <w:rPr>
            <w:rStyle w:val="Hyperlink"/>
          </w:rPr>
          <w:t xml:space="preserve">Table 6</w:t>
        </w:r>
      </w:hyperlink>
      <w:r>
        <w:t xml:space="preserve">. The residuals for the default model (</w:t>
      </w:r>
      <w:hyperlink w:anchor="tab5">
        <w:r>
          <w:rPr>
            <w:rStyle w:val="Hyperlink"/>
          </w:rPr>
          <w:t xml:space="preserve">Table 5</w:t>
        </w:r>
      </w:hyperlink>
      <w:r>
        <w:t xml:space="preserve">) are shown in</w:t>
      </w:r>
      <w:r>
        <w:t xml:space="preserve"> </w:t>
      </w:r>
      <w:hyperlink w:anchor="fig5">
        <w:r>
          <w:rPr>
            <w:rStyle w:val="Hyperlink"/>
          </w:rPr>
          <w:t xml:space="preserve">Figure 5</w:t>
        </w:r>
      </w:hyperlink>
      <w:r>
        <w:t xml:space="preserve">.</w:t>
      </w:r>
    </w:p>
    <w:p>
      <w:pPr>
        <w:pStyle w:val="Textkrper"/>
      </w:pPr>
    </w:p>
    <w:p>
      <w:pPr>
        <w:pStyle w:val="FigureWithCaption"/>
      </w:pPr>
      <w:r>
        <w:drawing>
          <wp:inline>
            <wp:extent cx="5969000" cy="4476750"/>
            <wp:effectExtent b="0" l="0" r="0" t="0"/>
            <wp:docPr descr="Figure 4: The distribution of TCDS rates found across the 55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The distribution of TCDS rates found across the 55 turn-taking clips.</w:t>
      </w:r>
    </w:p>
    <w:p>
      <w:pPr>
        <w:pStyle w:val="Textkrper"/>
      </w:pPr>
    </w:p>
    <w:p>
      <w:pPr>
        <w:pStyle w:val="Compact"/>
      </w:pPr>
      <w:r>
        <w:t xml:space="preserve">Table 5:</w:t>
      </w:r>
    </w:p>
    <w:p>
      <w:pPr>
        <w:pStyle w:val="Compact"/>
      </w:pPr>
      <w:r>
        <w:rPr>
          <w:i/>
        </w:rPr>
        <w:t xml:space="preserve">Full output of the negative binomial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2.39</w:t>
            </w:r>
          </w:p>
        </w:tc>
        <w:tc>
          <w:p>
            <w:pPr>
              <w:pStyle w:val="Compact"/>
              <w:jc w:val="left"/>
            </w:pPr>
            <w:r>
              <w:t xml:space="preserve">0.25</w:t>
            </w:r>
          </w:p>
        </w:tc>
        <w:tc>
          <w:p>
            <w:pPr>
              <w:pStyle w:val="Compact"/>
              <w:jc w:val="left"/>
            </w:pPr>
            <w:r>
              <w:t xml:space="preserve">9.45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-0.63</w:t>
            </w:r>
          </w:p>
        </w:tc>
        <w:tc>
          <w:p>
            <w:pPr>
              <w:pStyle w:val="Compact"/>
              <w:jc w:val="left"/>
            </w:pPr>
            <w:r>
              <w:t xml:space="preserve">0.27</w:t>
            </w:r>
          </w:p>
        </w:tc>
        <w:tc>
          <w:p>
            <w:pPr>
              <w:pStyle w:val="Compact"/>
              <w:jc w:val="left"/>
            </w:pPr>
            <w:r>
              <w:t xml:space="preserve">-2.33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0.22</w:t>
            </w:r>
          </w:p>
        </w:tc>
        <w:tc>
          <w:p>
            <w:pPr>
              <w:pStyle w:val="Compact"/>
              <w:jc w:val="left"/>
            </w:pPr>
            <w:r>
              <w:t xml:space="preserve">0.28</w:t>
            </w:r>
          </w:p>
        </w:tc>
        <w:tc>
          <w:p>
            <w:pPr>
              <w:pStyle w:val="Compact"/>
              <w:jc w:val="left"/>
            </w:pPr>
            <w:r>
              <w:t xml:space="preserve">0.77</w:t>
            </w:r>
          </w:p>
        </w:tc>
        <w:tc>
          <w:p>
            <w:pPr>
              <w:pStyle w:val="Compact"/>
              <w:jc w:val="left"/>
            </w:pPr>
            <w:r>
              <w:t xml:space="preserve">0.44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0.53</w:t>
            </w:r>
          </w:p>
        </w:tc>
        <w:tc>
          <w:p>
            <w:pPr>
              <w:pStyle w:val="Compact"/>
              <w:jc w:val="left"/>
            </w:pPr>
            <w:r>
              <w:t xml:space="preserve">0.28</w:t>
            </w:r>
          </w:p>
        </w:tc>
        <w:tc>
          <w:p>
            <w:pPr>
              <w:pStyle w:val="Compact"/>
              <w:jc w:val="left"/>
            </w:pPr>
            <w:r>
              <w:t xml:space="preserve">1.89</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Pr>
      <w:r>
        <w:rPr>
          <w:i/>
        </w:rPr>
        <w:t xml:space="preserve">Full output of the negative binomial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2.73</w:t>
            </w:r>
          </w:p>
        </w:tc>
        <w:tc>
          <w:p>
            <w:pPr>
              <w:pStyle w:val="Compact"/>
              <w:jc w:val="left"/>
            </w:pPr>
            <w:r>
              <w:t xml:space="preserve">0.11</w:t>
            </w:r>
          </w:p>
        </w:tc>
        <w:tc>
          <w:p>
            <w:pPr>
              <w:pStyle w:val="Compact"/>
              <w:jc w:val="left"/>
            </w:pPr>
            <w:r>
              <w:t xml:space="preserve">23.84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0.13</w:t>
            </w:r>
          </w:p>
        </w:tc>
        <w:tc>
          <w:p>
            <w:pPr>
              <w:pStyle w:val="Compact"/>
              <w:jc w:val="left"/>
            </w:pPr>
            <w:r>
              <w:t xml:space="preserve">-0.18</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0.17</w:t>
            </w:r>
          </w:p>
        </w:tc>
        <w:tc>
          <w:p>
            <w:pPr>
              <w:pStyle w:val="Compact"/>
              <w:jc w:val="left"/>
            </w:pPr>
            <w:r>
              <w:t xml:space="preserve">-0.69</w:t>
            </w:r>
          </w:p>
        </w:tc>
        <w:tc>
          <w:p>
            <w:pPr>
              <w:pStyle w:val="Compact"/>
              <w:jc w:val="left"/>
            </w:pPr>
            <w:r>
              <w:t xml:space="preserve">0.49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0.17</w:t>
            </w:r>
          </w:p>
        </w:tc>
        <w:tc>
          <w:p>
            <w:pPr>
              <w:pStyle w:val="Compact"/>
              <w:jc w:val="left"/>
            </w:pPr>
            <w:r>
              <w:t xml:space="preserve">-0.42</w:t>
            </w:r>
          </w:p>
        </w:tc>
        <w:tc>
          <w:p>
            <w:pPr>
              <w:pStyle w:val="Compact"/>
              <w:jc w:val="left"/>
            </w:pPr>
            <w:r>
              <w:t xml:space="preserve">0.68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The model residuals from the negative binomial mixed-effects regression of TCDS min/hr for the turn-taking sample.</w:t>
      </w:r>
    </w:p>
    <w:p>
      <w:pPr>
        <w:pStyle w:val="Textkrper"/>
      </w:pPr>
      <w:r>
        <w:t xml:space="preserve">As an alternative analysis we generated parallel models of TCDS rate in the turn-taking clips using gaussian mixed-effects regression with log-transformed values of TCDS: results for the two models demonstrating all pairwise effects of time of day are shown in</w:t>
      </w:r>
      <w:r>
        <w:t xml:space="preserve"> </w:t>
      </w:r>
      <w:hyperlink w:anchor="tab7">
        <w:r>
          <w:rPr>
            <w:rStyle w:val="Hyperlink"/>
          </w:rPr>
          <w:t xml:space="preserve">Table 7</w:t>
        </w:r>
      </w:hyperlink>
      <w:r>
        <w:t xml:space="preserve"> </w:t>
      </w:r>
      <w:r>
        <w:t xml:space="preserve">and</w:t>
      </w:r>
      <w:r>
        <w:t xml:space="preserve"> </w:t>
      </w:r>
      <w:hyperlink w:anchor="tab8">
        <w:r>
          <w:rPr>
            <w:rStyle w:val="Hyperlink"/>
          </w:rPr>
          <w:t xml:space="preserve">Table 8</w:t>
        </w:r>
      </w:hyperlink>
      <w:r>
        <w:t xml:space="preserve">. The residuals for the default gaussian model (</w:t>
      </w:r>
      <w:hyperlink w:anchor="tab7">
        <w:r>
          <w:rPr>
            <w:rStyle w:val="Hyperlink"/>
          </w:rPr>
          <w:t xml:space="preserve">Table 7</w:t>
        </w:r>
      </w:hyperlink>
      <w:r>
        <w:t xml:space="preserve">) are shown in</w:t>
      </w:r>
      <w:r>
        <w:t xml:space="preserve"> </w:t>
      </w:r>
      <w:hyperlink w:anchor="fig6">
        <w:r>
          <w:rPr>
            <w:rStyle w:val="Hyperlink"/>
          </w:rPr>
          <w:t xml:space="preserve">Figure 6</w:t>
        </w:r>
      </w:hyperlink>
      <w:r>
        <w:t xml:space="preserve">.</w:t>
      </w:r>
    </w:p>
    <w:p>
      <w:pPr>
        <w:pStyle w:val="Textkrper"/>
      </w:pPr>
    </w:p>
    <w:p>
      <w:pPr>
        <w:pStyle w:val="Compact"/>
      </w:pPr>
      <w:r>
        <w:t xml:space="preserve">Table 7:</w:t>
      </w:r>
    </w:p>
    <w:p>
      <w:pPr>
        <w:pStyle w:val="Compact"/>
      </w:pPr>
      <w:r>
        <w:rPr>
          <w:i/>
        </w:rPr>
        <w:t xml:space="preserve">Full output of the gaussian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2.32</w:t>
            </w:r>
          </w:p>
        </w:tc>
        <w:tc>
          <w:p>
            <w:pPr>
              <w:pStyle w:val="Compact"/>
              <w:jc w:val="left"/>
            </w:pPr>
            <w:r>
              <w:t xml:space="preserve">0.24</w:t>
            </w:r>
          </w:p>
        </w:tc>
        <w:tc>
          <w:p>
            <w:pPr>
              <w:pStyle w:val="Compact"/>
              <w:jc w:val="left"/>
            </w:pPr>
            <w:r>
              <w:t xml:space="preserve">9.69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-0.84</w:t>
            </w:r>
          </w:p>
        </w:tc>
        <w:tc>
          <w:p>
            <w:pPr>
              <w:pStyle w:val="Compact"/>
              <w:jc w:val="left"/>
            </w:pPr>
            <w:r>
              <w:t xml:space="preserve">0.24</w:t>
            </w:r>
          </w:p>
        </w:tc>
        <w:tc>
          <w:p>
            <w:pPr>
              <w:pStyle w:val="Compact"/>
              <w:jc w:val="left"/>
            </w:pPr>
            <w:r>
              <w:t xml:space="preserve">-3.44</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0.21</w:t>
            </w:r>
          </w:p>
        </w:tc>
        <w:tc>
          <w:p>
            <w:pPr>
              <w:pStyle w:val="Compact"/>
              <w:jc w:val="left"/>
            </w:pPr>
            <w:r>
              <w:t xml:space="preserve">0.29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0.75</w:t>
            </w:r>
          </w:p>
        </w:tc>
        <w:tc>
          <w:p>
            <w:pPr>
              <w:pStyle w:val="Compact"/>
              <w:jc w:val="left"/>
            </w:pPr>
            <w:r>
              <w:t xml:space="preserve">0.26</w:t>
            </w:r>
          </w:p>
        </w:tc>
        <w:tc>
          <w:p>
            <w:pPr>
              <w:pStyle w:val="Compact"/>
              <w:jc w:val="left"/>
            </w:pPr>
            <w:r>
              <w:t xml:space="preserve">2.88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Pr>
      <w:r>
        <w:rPr>
          <w:i/>
        </w:rPr>
        <w:t xml:space="preserve">Full output of the gaussian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2.68</w:t>
            </w:r>
          </w:p>
        </w:tc>
        <w:tc>
          <w:p>
            <w:pPr>
              <w:pStyle w:val="Compact"/>
              <w:jc w:val="left"/>
            </w:pPr>
            <w:r>
              <w:t xml:space="preserve">0.13</w:t>
            </w:r>
          </w:p>
        </w:tc>
        <w:tc>
          <w:p>
            <w:pPr>
              <w:pStyle w:val="Compact"/>
              <w:jc w:val="left"/>
            </w:pPr>
            <w:r>
              <w:t xml:space="preserve">20.54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0.16</w:t>
            </w:r>
          </w:p>
        </w:tc>
        <w:tc>
          <w:p>
            <w:pPr>
              <w:pStyle w:val="Compact"/>
              <w:jc w:val="left"/>
            </w:pPr>
            <w:r>
              <w:t xml:space="preserve">-0.19</w:t>
            </w:r>
          </w:p>
        </w:tc>
        <w:tc>
          <w:p>
            <w:pPr>
              <w:pStyle w:val="Compact"/>
              <w:jc w:val="left"/>
            </w:pPr>
            <w:r>
              <w:t xml:space="preserve">0.85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-0.15</w:t>
            </w:r>
          </w:p>
        </w:tc>
        <w:tc>
          <w:p>
            <w:pPr>
              <w:pStyle w:val="Compact"/>
              <w:jc w:val="left"/>
            </w:pPr>
            <w:r>
              <w:t xml:space="preserve">0.21</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0.20</w:t>
            </w:r>
          </w:p>
        </w:tc>
        <w:tc>
          <w:p>
            <w:pPr>
              <w:pStyle w:val="Compact"/>
              <w:jc w:val="left"/>
            </w:pPr>
            <w:r>
              <w:t xml:space="preserve">-0.33</w:t>
            </w:r>
          </w:p>
        </w:tc>
        <w:tc>
          <w:p>
            <w:pPr>
              <w:pStyle w:val="Compact"/>
              <w:jc w:val="left"/>
            </w:pPr>
            <w:r>
              <w:t xml:space="preserve">0.74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The model residuals from the gaussian mixed-effects regression of TCDS min/hr for the turn-taking sample.</w:t>
      </w:r>
    </w:p>
    <w:p>
      <w:pPr>
        <w:pStyle w:val="Textkrper"/>
      </w:pPr>
    </w:p>
    <w:p>
      <w:pPr>
        <w:pStyle w:val="berschrift2"/>
      </w:pPr>
      <w:bookmarkStart w:id="34" w:name="models-ods"/>
      <w:bookmarkEnd w:id="34"/>
      <w:r>
        <w:t xml:space="preserve">Other-directed speech (ODS)</w:t>
      </w:r>
    </w:p>
    <w:p>
      <w:pPr>
        <w:pStyle w:val="berschrift3"/>
      </w:pPr>
      <w:bookmarkStart w:id="35" w:name="models-ods-random"/>
      <w:bookmarkEnd w:id="35"/>
      <w:r>
        <w:t xml:space="preserve">Random clips</w:t>
      </w:r>
    </w:p>
    <w:p>
      <w:pPr>
        <w:pStyle w:val="FirstParagraph"/>
      </w:pPr>
      <w:r>
        <w:t xml:space="preserve">ODS rate in the random clips demonstrated a skewed distribution, but without extra cases of zero</w:t>
      </w:r>
      <w:r>
        <w:t xml:space="preserve"> </w:t>
      </w:r>
      <w:hyperlink w:anchor="fig7">
        <w:r>
          <w:rPr>
            <w:rStyle w:val="Hyperlink"/>
          </w:rPr>
          <w:t xml:space="preserve">Figure 7</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9">
        <w:r>
          <w:rPr>
            <w:rStyle w:val="Hyperlink"/>
          </w:rPr>
          <w:t xml:space="preserve">Table 9</w:t>
        </w:r>
      </w:hyperlink>
      <w:r>
        <w:t xml:space="preserve"> </w:t>
      </w:r>
      <w:r>
        <w:t xml:space="preserve">and</w:t>
      </w:r>
      <w:r>
        <w:t xml:space="preserve"> </w:t>
      </w:r>
      <w:hyperlink w:anchor="tab10">
        <w:r>
          <w:rPr>
            <w:rStyle w:val="Hyperlink"/>
          </w:rPr>
          <w:t xml:space="preserve">Table 10</w:t>
        </w:r>
      </w:hyperlink>
      <w:r>
        <w:t xml:space="preserve">. The residuals for the default model (</w:t>
      </w:r>
      <w:hyperlink w:anchor="tab9">
        <w:r>
          <w:rPr>
            <w:rStyle w:val="Hyperlink"/>
          </w:rPr>
          <w:t xml:space="preserve">Table 9</w:t>
        </w:r>
      </w:hyperlink>
      <w:r>
        <w:t xml:space="preserve">) are shown in</w:t>
      </w:r>
      <w:r>
        <w:t xml:space="preserve"> </w:t>
      </w:r>
      <w:hyperlink w:anchor="fig8">
        <w:r>
          <w:rPr>
            <w:rStyle w:val="Hyperlink"/>
          </w:rPr>
          <w:t xml:space="preserve">Figure 8</w:t>
        </w:r>
      </w:hyperlink>
      <w:r>
        <w:t xml:space="preserve">.</w:t>
      </w:r>
    </w:p>
    <w:p>
      <w:pPr>
        <w:pStyle w:val="Textkrper"/>
      </w:pPr>
    </w:p>
    <w:p>
      <w:pPr>
        <w:pStyle w:val="FigureWithCaption"/>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7: The distribution of ODS rates found across the 90 random clips.</w:t>
      </w:r>
    </w:p>
    <w:p>
      <w:pPr>
        <w:pStyle w:val="Textkrper"/>
      </w:pPr>
    </w:p>
    <w:p>
      <w:pPr>
        <w:pStyle w:val="Compact"/>
      </w:pPr>
      <w:r>
        <w:t xml:space="preserve">Table 9:</w:t>
      </w:r>
    </w:p>
    <w:p>
      <w:pPr>
        <w:pStyle w:val="Compact"/>
      </w:pPr>
      <w:r>
        <w:rPr>
          <w:i/>
        </w:rPr>
        <w:t xml:space="preserve">Full output of the negative binomial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3.26</w:t>
            </w:r>
          </w:p>
        </w:tc>
        <w:tc>
          <w:p>
            <w:pPr>
              <w:pStyle w:val="Compact"/>
              <w:jc w:val="left"/>
            </w:pPr>
            <w:r>
              <w:t xml:space="preserve">0.14</w:t>
            </w:r>
          </w:p>
        </w:tc>
        <w:tc>
          <w:p>
            <w:pPr>
              <w:pStyle w:val="Compact"/>
              <w:jc w:val="left"/>
            </w:pPr>
            <w:r>
              <w:t xml:space="preserve">23.99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-0.57</w:t>
            </w:r>
          </w:p>
        </w:tc>
        <w:tc>
          <w:p>
            <w:pPr>
              <w:pStyle w:val="Compact"/>
              <w:jc w:val="left"/>
            </w:pPr>
            <w:r>
              <w:t xml:space="preserve">0.17</w:t>
            </w:r>
          </w:p>
        </w:tc>
        <w:tc>
          <w:p>
            <w:pPr>
              <w:pStyle w:val="Compact"/>
              <w:jc w:val="left"/>
            </w:pPr>
            <w:r>
              <w:t xml:space="preserve">-3.28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0.20</w:t>
            </w:r>
          </w:p>
        </w:tc>
        <w:tc>
          <w:p>
            <w:pPr>
              <w:pStyle w:val="Compact"/>
              <w:jc w:val="left"/>
            </w:pPr>
            <w:r>
              <w:t xml:space="preserve">0.16</w:t>
            </w:r>
          </w:p>
        </w:tc>
        <w:tc>
          <w:p>
            <w:pPr>
              <w:pStyle w:val="Compact"/>
              <w:jc w:val="left"/>
            </w:pPr>
            <w:r>
              <w:t xml:space="preserve">1.19</w:t>
            </w:r>
          </w:p>
        </w:tc>
        <w:tc>
          <w:p>
            <w:pPr>
              <w:pStyle w:val="Compact"/>
              <w:jc w:val="left"/>
            </w:pPr>
            <w:r>
              <w:t xml:space="preserve">0.23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0.65</w:t>
            </w:r>
          </w:p>
        </w:tc>
        <w:tc>
          <w:p>
            <w:pPr>
              <w:pStyle w:val="Compact"/>
              <w:jc w:val="left"/>
            </w:pPr>
            <w:r>
              <w:t xml:space="preserve">0.20</w:t>
            </w:r>
          </w:p>
        </w:tc>
        <w:tc>
          <w:p>
            <w:pPr>
              <w:pStyle w:val="Compact"/>
              <w:jc w:val="left"/>
            </w:pPr>
            <w:r>
              <w:t xml:space="preserve">3.23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Pr>
      <w:r>
        <w:rPr>
          <w:i/>
        </w:rPr>
        <w:t xml:space="preserve">Full output of the negative binomial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3.51</w:t>
            </w:r>
          </w:p>
        </w:tc>
        <w:tc>
          <w:p>
            <w:pPr>
              <w:pStyle w:val="Compact"/>
              <w:jc w:val="left"/>
            </w:pPr>
            <w:r>
              <w:t xml:space="preserve">0.08</w:t>
            </w:r>
          </w:p>
        </w:tc>
        <w:tc>
          <w:p>
            <w:pPr>
              <w:pStyle w:val="Compact"/>
              <w:jc w:val="left"/>
            </w:pPr>
            <w:r>
              <w:t xml:space="preserve">42.78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-0.29</w:t>
            </w:r>
          </w:p>
        </w:tc>
        <w:tc>
          <w:p>
            <w:pPr>
              <w:pStyle w:val="Compact"/>
              <w:jc w:val="left"/>
            </w:pPr>
            <w:r>
              <w:t xml:space="preserve">0.09</w:t>
            </w:r>
          </w:p>
        </w:tc>
        <w:tc>
          <w:p>
            <w:pPr>
              <w:pStyle w:val="Compact"/>
              <w:jc w:val="left"/>
            </w:pPr>
            <w:r>
              <w:t xml:space="preserve">-3.12</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0.13</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0.37</w:t>
            </w:r>
          </w:p>
        </w:tc>
        <w:tc>
          <w:p>
            <w:pPr>
              <w:pStyle w:val="Compact"/>
              <w:jc w:val="left"/>
            </w:pPr>
            <w:r>
              <w:t xml:space="preserve">0.15</w:t>
            </w:r>
          </w:p>
        </w:tc>
        <w:tc>
          <w:p>
            <w:pPr>
              <w:pStyle w:val="Compact"/>
              <w:jc w:val="left"/>
            </w:pPr>
            <w:r>
              <w:t xml:space="preserve">2.50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nb_re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 The model residuals from the zero-inflated negative binomial mixed-effects regression of ODS min/hr for the random sample.</w:t>
      </w:r>
    </w:p>
    <w:p>
      <w:pPr>
        <w:pStyle w:val="Textkrper"/>
      </w:pPr>
      <w:r>
        <w:t xml:space="preserve">As an alternative analysis we generated parallel models of ODS rate in the random clips using gaussian mixed-effects regression with log-transformed values of ODS: results for the two models demonstrating all pairwise effects of time of day are shown in</w:t>
      </w:r>
      <w:r>
        <w:t xml:space="preserve"> </w:t>
      </w:r>
      <w:hyperlink w:anchor="tab11">
        <w:r>
          <w:rPr>
            <w:rStyle w:val="Hyperlink"/>
          </w:rPr>
          <w:t xml:space="preserve">Table 11</w:t>
        </w:r>
      </w:hyperlink>
      <w:r>
        <w:t xml:space="preserve"> </w:t>
      </w:r>
      <w:r>
        <w:t xml:space="preserve">and</w:t>
      </w:r>
      <w:r>
        <w:t xml:space="preserve"> </w:t>
      </w:r>
      <w:hyperlink w:anchor="tab12">
        <w:r>
          <w:rPr>
            <w:rStyle w:val="Hyperlink"/>
          </w:rPr>
          <w:t xml:space="preserve">Table 12</w:t>
        </w:r>
      </w:hyperlink>
      <w:r>
        <w:t xml:space="preserve">. The residuals for the default gaussian model (</w:t>
      </w:r>
      <w:hyperlink w:anchor="tab11">
        <w:r>
          <w:rPr>
            <w:rStyle w:val="Hyperlink"/>
          </w:rPr>
          <w:t xml:space="preserve">Table 11</w:t>
        </w:r>
      </w:hyperlink>
      <w:r>
        <w:t xml:space="preserve">) are shown in</w:t>
      </w:r>
      <w:r>
        <w:t xml:space="preserve"> </w:t>
      </w:r>
      <w:hyperlink w:anchor="fig9">
        <w:r>
          <w:rPr>
            <w:rStyle w:val="Hyperlink"/>
          </w:rPr>
          <w:t xml:space="preserve">Figure 9</w:t>
        </w:r>
      </w:hyperlink>
      <w:r>
        <w:t xml:space="preserve">.</w:t>
      </w:r>
    </w:p>
    <w:p>
      <w:pPr>
        <w:pStyle w:val="Textkrper"/>
      </w:pPr>
    </w:p>
    <w:p>
      <w:pPr>
        <w:pStyle w:val="Compact"/>
      </w:pPr>
      <w:r>
        <w:t xml:space="preserve">Table 11:</w:t>
      </w:r>
    </w:p>
    <w:p>
      <w:pPr>
        <w:pStyle w:val="Compact"/>
      </w:pPr>
      <w:r>
        <w:rPr>
          <w:i/>
        </w:rPr>
        <w:t xml:space="preserve">Full output of the gaussian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3.06</w:t>
            </w:r>
          </w:p>
        </w:tc>
        <w:tc>
          <w:p>
            <w:pPr>
              <w:pStyle w:val="Compact"/>
              <w:jc w:val="left"/>
            </w:pPr>
            <w:r>
              <w:t xml:space="preserve">0.16</w:t>
            </w:r>
          </w:p>
        </w:tc>
        <w:tc>
          <w:p>
            <w:pPr>
              <w:pStyle w:val="Compact"/>
              <w:jc w:val="left"/>
            </w:pPr>
            <w:r>
              <w:t xml:space="preserve">18.79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0.16</w:t>
            </w:r>
          </w:p>
        </w:tc>
        <w:tc>
          <w:p>
            <w:pPr>
              <w:pStyle w:val="Compact"/>
              <w:jc w:val="left"/>
            </w:pPr>
            <w:r>
              <w:t xml:space="preserve">-2.98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0.26</w:t>
            </w:r>
          </w:p>
        </w:tc>
        <w:tc>
          <w:p>
            <w:pPr>
              <w:pStyle w:val="Compact"/>
              <w:jc w:val="left"/>
            </w:pPr>
            <w:r>
              <w:t xml:space="preserve">0.20</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0.57</w:t>
            </w:r>
          </w:p>
        </w:tc>
        <w:tc>
          <w:p>
            <w:pPr>
              <w:pStyle w:val="Compact"/>
              <w:jc w:val="left"/>
            </w:pPr>
            <w:r>
              <w:t xml:space="preserve">0.21</w:t>
            </w:r>
          </w:p>
        </w:tc>
        <w:tc>
          <w:p>
            <w:pPr>
              <w:pStyle w:val="Compact"/>
              <w:jc w:val="left"/>
            </w:pPr>
            <w:r>
              <w:t xml:space="preserve">2.70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Pr>
      <w:r>
        <w:rPr>
          <w:i/>
        </w:rPr>
        <w:t xml:space="preserve">Full output of the gaussian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3.34</w:t>
            </w:r>
          </w:p>
        </w:tc>
        <w:tc>
          <w:p>
            <w:pPr>
              <w:pStyle w:val="Compact"/>
              <w:jc w:val="left"/>
            </w:pPr>
            <w:r>
              <w:t xml:space="preserve">0.12</w:t>
            </w:r>
          </w:p>
        </w:tc>
        <w:tc>
          <w:p>
            <w:pPr>
              <w:pStyle w:val="Compact"/>
              <w:jc w:val="left"/>
            </w:pPr>
            <w:r>
              <w:t xml:space="preserve">28.26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-0.38</w:t>
            </w:r>
          </w:p>
        </w:tc>
        <w:tc>
          <w:p>
            <w:pPr>
              <w:pStyle w:val="Compact"/>
              <w:jc w:val="left"/>
            </w:pPr>
            <w:r>
              <w:t xml:space="preserve">0.13</w:t>
            </w:r>
          </w:p>
        </w:tc>
        <w:tc>
          <w:p>
            <w:pPr>
              <w:pStyle w:val="Compact"/>
              <w:jc w:val="left"/>
            </w:pPr>
            <w:r>
              <w:t xml:space="preserve">-3.04</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-0.03</w:t>
            </w:r>
          </w:p>
        </w:tc>
        <w:tc>
          <w:p>
            <w:pPr>
              <w:pStyle w:val="Compact"/>
              <w:jc w:val="left"/>
            </w:pPr>
            <w:r>
              <w:t xml:space="preserve">0.16</w:t>
            </w:r>
          </w:p>
        </w:tc>
        <w:tc>
          <w:p>
            <w:pPr>
              <w:pStyle w:val="Compact"/>
              <w:jc w:val="left"/>
            </w:pPr>
            <w:r>
              <w:t xml:space="preserve">-0.16</w:t>
            </w:r>
          </w:p>
        </w:tc>
        <w:tc>
          <w:p>
            <w:pPr>
              <w:pStyle w:val="Compact"/>
              <w:jc w:val="left"/>
            </w:pPr>
            <w:r>
              <w:t xml:space="preserve">0.87</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0.18</w:t>
            </w:r>
          </w:p>
        </w:tc>
        <w:tc>
          <w:p>
            <w:pPr>
              <w:pStyle w:val="Compact"/>
              <w:jc w:val="left"/>
            </w:pPr>
            <w:r>
              <w:t xml:space="preserve">2.64</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The model residuals from the gaussian mixed-effects regression of ODS min/hr for the random sample.</w:t>
      </w:r>
    </w:p>
    <w:p>
      <w:pPr>
        <w:pStyle w:val="Textkrper"/>
      </w:pPr>
    </w:p>
    <w:p>
      <w:pPr>
        <w:pStyle w:val="berschrift3"/>
      </w:pPr>
      <w:bookmarkStart w:id="39" w:name="models-ods-turntaking"/>
      <w:bookmarkEnd w:id="39"/>
      <w:r>
        <w:t xml:space="preserve">Turn-taking clips</w:t>
      </w:r>
    </w:p>
    <w:p>
      <w:pPr>
        <w:pStyle w:val="FirstParagraph"/>
      </w:pPr>
      <w:r>
        <w:t xml:space="preserve">ODS rate in the turn-taking clips demonstrated a skewed distribution</w:t>
      </w:r>
      <w:r>
        <w:t xml:space="preserve"> </w:t>
      </w:r>
      <w:hyperlink w:anchor="fig10">
        <w:r>
          <w:rPr>
            <w:rStyle w:val="Hyperlink"/>
          </w:rPr>
          <w:t xml:space="preserve">Figure 10</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13">
        <w:r>
          <w:rPr>
            <w:rStyle w:val="Hyperlink"/>
          </w:rPr>
          <w:t xml:space="preserve">Table 13</w:t>
        </w:r>
      </w:hyperlink>
      <w:r>
        <w:t xml:space="preserve"> </w:t>
      </w:r>
      <w:r>
        <w:t xml:space="preserve">and</w:t>
      </w:r>
      <w:r>
        <w:t xml:space="preserve"> </w:t>
      </w:r>
      <w:hyperlink w:anchor="tab14">
        <w:r>
          <w:rPr>
            <w:rStyle w:val="Hyperlink"/>
          </w:rPr>
          <w:t xml:space="preserve">Table 14</w:t>
        </w:r>
      </w:hyperlink>
      <w:r>
        <w:t xml:space="preserve">. The residuals for the default model (</w:t>
      </w:r>
      <w:hyperlink w:anchor="tab13">
        <w:r>
          <w:rPr>
            <w:rStyle w:val="Hyperlink"/>
          </w:rPr>
          <w:t xml:space="preserve">Table 13</w:t>
        </w:r>
      </w:hyperlink>
      <w:r>
        <w:t xml:space="preserve">) are shown in</w:t>
      </w:r>
      <w:r>
        <w:t xml:space="preserve"> </w:t>
      </w:r>
      <w:hyperlink w:anchor="fig11">
        <w:r>
          <w:rPr>
            <w:rStyle w:val="Hyperlink"/>
          </w:rPr>
          <w:t xml:space="preserve">Figure 11</w:t>
        </w:r>
      </w:hyperlink>
      <w:r>
        <w:t xml:space="preserve">.</w:t>
      </w:r>
    </w:p>
    <w:p>
      <w:pPr>
        <w:pStyle w:val="Textkrper"/>
      </w:pPr>
    </w:p>
    <w:p>
      <w:pPr>
        <w:pStyle w:val="FigureWithCaption"/>
      </w:pPr>
      <w:r>
        <w:drawing>
          <wp:inline>
            <wp:extent cx="5969000" cy="4476750"/>
            <wp:effectExtent b="0" l="0" r="0" t="0"/>
            <wp:docPr descr="Figure 10: The distribution of ODS rates found across the 55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4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10: The distribution of ODS rates found across the 55 turn-taking clips.</w:t>
      </w:r>
    </w:p>
    <w:p>
      <w:pPr>
        <w:pStyle w:val="Textkrper"/>
      </w:pPr>
    </w:p>
    <w:p>
      <w:pPr>
        <w:pStyle w:val="Compact"/>
      </w:pPr>
      <w:r>
        <w:t xml:space="preserve">Table 13:</w:t>
      </w:r>
    </w:p>
    <w:p>
      <w:pPr>
        <w:pStyle w:val="Compact"/>
      </w:pPr>
      <w:r>
        <w:rPr>
          <w:i/>
        </w:rPr>
        <w:t xml:space="preserve">Full output of the negative binomial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2.62</w:t>
            </w:r>
          </w:p>
        </w:tc>
        <w:tc>
          <w:p>
            <w:pPr>
              <w:pStyle w:val="Compact"/>
              <w:jc w:val="left"/>
            </w:pPr>
            <w:r>
              <w:t xml:space="preserve">0.33</w:t>
            </w:r>
          </w:p>
        </w:tc>
        <w:tc>
          <w:p>
            <w:pPr>
              <w:pStyle w:val="Compact"/>
              <w:jc w:val="left"/>
            </w:pPr>
            <w:r>
              <w:t xml:space="preserve">7.89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-0.04</w:t>
            </w:r>
          </w:p>
        </w:tc>
        <w:tc>
          <w:p>
            <w:pPr>
              <w:pStyle w:val="Compact"/>
              <w:jc w:val="left"/>
            </w:pPr>
            <w:r>
              <w:t xml:space="preserve">0.33</w:t>
            </w:r>
          </w:p>
        </w:tc>
        <w:tc>
          <w:p>
            <w:pPr>
              <w:pStyle w:val="Compact"/>
              <w:jc w:val="left"/>
            </w:pPr>
            <w:r>
              <w:t xml:space="preserve">-0.14</w:t>
            </w:r>
          </w:p>
        </w:tc>
        <w:tc>
          <w:p>
            <w:pPr>
              <w:pStyle w:val="Compact"/>
              <w:jc w:val="left"/>
            </w:pPr>
            <w:r>
              <w:t xml:space="preserve">0.89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0.43</w:t>
            </w:r>
          </w:p>
        </w:tc>
        <w:tc>
          <w:p>
            <w:pPr>
              <w:pStyle w:val="Compact"/>
              <w:jc w:val="left"/>
            </w:pPr>
            <w:r>
              <w:t xml:space="preserve">0.34</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-0.15</w:t>
            </w:r>
          </w:p>
        </w:tc>
        <w:tc>
          <w:p>
            <w:pPr>
              <w:pStyle w:val="Compact"/>
              <w:jc w:val="left"/>
            </w:pPr>
            <w:r>
              <w:t xml:space="preserve">0.33</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Pr>
      <w:r>
        <w:rPr>
          <w:i/>
        </w:rPr>
        <w:t xml:space="preserve">Full output of the negative binomial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2.96</w:t>
            </w:r>
          </w:p>
        </w:tc>
        <w:tc>
          <w:p>
            <w:pPr>
              <w:pStyle w:val="Compact"/>
              <w:jc w:val="left"/>
            </w:pPr>
            <w:r>
              <w:t xml:space="preserve">0.16</w:t>
            </w:r>
          </w:p>
        </w:tc>
        <w:tc>
          <w:p>
            <w:pPr>
              <w:pStyle w:val="Compact"/>
              <w:jc w:val="left"/>
            </w:pPr>
            <w:r>
              <w:t xml:space="preserve">18.58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0.18</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0.17</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-0.18</w:t>
            </w:r>
          </w:p>
        </w:tc>
        <w:tc>
          <w:p>
            <w:pPr>
              <w:pStyle w:val="Compact"/>
              <w:jc w:val="left"/>
            </w:pPr>
            <w:r>
              <w:t xml:space="preserve">0.20</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1: The model residuals from the negative binomial mixed-effects regression of ODS min/hr for the turn-taking sample." title="" id="1" name="Picture"/>
            <a:graphic>
              <a:graphicData uri="http://schemas.openxmlformats.org/drawingml/2006/picture">
                <pic:pic>
                  <pic:nvPicPr>
                    <pic:cNvPr descr="www/ODS_turntaking_nb_res_plot.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11: The model residuals from the negative binomial mixed-effects regression of ODS min/hr for the turn-taking sample.</w:t>
      </w:r>
    </w:p>
    <w:p>
      <w:pPr>
        <w:pStyle w:val="Textkrper"/>
      </w:pPr>
      <w:r>
        <w:t xml:space="preserve">As an alternative analysis we generated parallel models of ODS rate in the turn-taking clips using gaussian mixed-effects regression with log-transformed values of ODS: results for the two models demonstrating all pairwise effects of time of day are shown in</w:t>
      </w:r>
      <w:r>
        <w:t xml:space="preserve"> </w:t>
      </w:r>
      <w:hyperlink w:anchor="tab15">
        <w:r>
          <w:rPr>
            <w:rStyle w:val="Hyperlink"/>
          </w:rPr>
          <w:t xml:space="preserve">Table 15</w:t>
        </w:r>
      </w:hyperlink>
      <w:r>
        <w:t xml:space="preserve"> </w:t>
      </w:r>
      <w:r>
        <w:t xml:space="preserve">and</w:t>
      </w:r>
      <w:r>
        <w:t xml:space="preserve"> </w:t>
      </w:r>
      <w:hyperlink w:anchor="tab16">
        <w:r>
          <w:rPr>
            <w:rStyle w:val="Hyperlink"/>
          </w:rPr>
          <w:t xml:space="preserve">Table 16</w:t>
        </w:r>
      </w:hyperlink>
      <w:r>
        <w:t xml:space="preserve">. The residuals for the default gaussian model (</w:t>
      </w:r>
      <w:hyperlink w:anchor="tab15">
        <w:r>
          <w:rPr>
            <w:rStyle w:val="Hyperlink"/>
          </w:rPr>
          <w:t xml:space="preserve">Table 15</w:t>
        </w:r>
      </w:hyperlink>
      <w:r>
        <w:t xml:space="preserve">) are shown in</w:t>
      </w:r>
      <w:r>
        <w:t xml:space="preserve"> </w:t>
      </w:r>
      <w:hyperlink w:anchor="fig12">
        <w:r>
          <w:rPr>
            <w:rStyle w:val="Hyperlink"/>
          </w:rPr>
          <w:t xml:space="preserve">Figure 12</w:t>
        </w:r>
      </w:hyperlink>
      <w:r>
        <w:t xml:space="preserve">.</w:t>
      </w:r>
    </w:p>
    <w:p>
      <w:pPr>
        <w:pStyle w:val="Textkrper"/>
      </w:pPr>
    </w:p>
    <w:p>
      <w:pPr>
        <w:pStyle w:val="Compact"/>
      </w:pPr>
      <w:r>
        <w:t xml:space="preserve">Table 15:</w:t>
      </w:r>
    </w:p>
    <w:p>
      <w:pPr>
        <w:pStyle w:val="Compact"/>
      </w:pPr>
      <w:r>
        <w:rPr>
          <w:i/>
        </w:rPr>
        <w:t xml:space="preserve">Full output of the gaussian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2.55</w:t>
            </w:r>
          </w:p>
        </w:tc>
        <w:tc>
          <w:p>
            <w:pPr>
              <w:pStyle w:val="Compact"/>
              <w:jc w:val="left"/>
            </w:pPr>
            <w:r>
              <w:t xml:space="preserve">0.29</w:t>
            </w:r>
          </w:p>
        </w:tc>
        <w:tc>
          <w:p>
            <w:pPr>
              <w:pStyle w:val="Compact"/>
              <w:jc w:val="left"/>
            </w:pPr>
            <w:r>
              <w:t xml:space="preserve">8.92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-0.12</w:t>
            </w:r>
          </w:p>
        </w:tc>
        <w:tc>
          <w:p>
            <w:pPr>
              <w:pStyle w:val="Compact"/>
              <w:jc w:val="left"/>
            </w:pPr>
            <w:r>
              <w:t xml:space="preserve">0.30</w:t>
            </w:r>
          </w:p>
        </w:tc>
        <w:tc>
          <w:p>
            <w:pPr>
              <w:pStyle w:val="Compact"/>
              <w:jc w:val="left"/>
            </w:pPr>
            <w:r>
              <w:t xml:space="preserve">-0.40</w:t>
            </w:r>
          </w:p>
        </w:tc>
        <w:tc>
          <w:p>
            <w:pPr>
              <w:pStyle w:val="Compact"/>
              <w:jc w:val="left"/>
            </w:pPr>
            <w:r>
              <w:t xml:space="preserve">0.69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0.37</w:t>
            </w:r>
          </w:p>
        </w:tc>
        <w:tc>
          <w:p>
            <w:pPr>
              <w:pStyle w:val="Compact"/>
              <w:jc w:val="left"/>
            </w:pPr>
            <w:r>
              <w:t xml:space="preserve">0.32</w:t>
            </w:r>
          </w:p>
        </w:tc>
        <w:tc>
          <w:p>
            <w:pPr>
              <w:pStyle w:val="Compact"/>
              <w:jc w:val="left"/>
            </w:pPr>
            <w:r>
              <w:t xml:space="preserve">1.16</w:t>
            </w:r>
          </w:p>
        </w:tc>
        <w:tc>
          <w:p>
            <w:pPr>
              <w:pStyle w:val="Compact"/>
              <w:jc w:val="left"/>
            </w:pPr>
            <w:r>
              <w:t xml:space="preserve">0.25</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0.30</w:t>
            </w:r>
          </w:p>
        </w:tc>
        <w:tc>
          <w:p>
            <w:pPr>
              <w:pStyle w:val="Compact"/>
              <w:jc w:val="left"/>
            </w:pPr>
            <w:r>
              <w:t xml:space="preserve">-0.24</w:t>
            </w:r>
          </w:p>
        </w:tc>
        <w:tc>
          <w:p>
            <w:pPr>
              <w:pStyle w:val="Compact"/>
              <w:jc w:val="left"/>
            </w:pPr>
            <w:r>
              <w:t xml:space="preserve">0.81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Pr>
      <w:r>
        <w:rPr>
          <w:i/>
        </w:rPr>
        <w:t xml:space="preserve">Full output of the gaussian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2.87</w:t>
            </w:r>
          </w:p>
        </w:tc>
        <w:tc>
          <w:p>
            <w:pPr>
              <w:pStyle w:val="Compact"/>
              <w:jc w:val="left"/>
            </w:pPr>
            <w:r>
              <w:t xml:space="preserve">0.17</w:t>
            </w:r>
          </w:p>
        </w:tc>
        <w:tc>
          <w:p>
            <w:pPr>
              <w:pStyle w:val="Compact"/>
              <w:jc w:val="left"/>
            </w:pPr>
            <w:r>
              <w:t xml:space="preserve">17.12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0.20</w:t>
            </w:r>
          </w:p>
        </w:tc>
        <w:tc>
          <w:p>
            <w:pPr>
              <w:pStyle w:val="Compact"/>
              <w:jc w:val="left"/>
            </w:pPr>
            <w:r>
              <w:t xml:space="preserve">0.45</w:t>
            </w:r>
          </w:p>
        </w:tc>
        <w:tc>
          <w:p>
            <w:pPr>
              <w:pStyle w:val="Compact"/>
              <w:jc w:val="left"/>
            </w:pPr>
            <w:r>
              <w:t xml:space="preserve">0.65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0.22</w:t>
            </w:r>
          </w:p>
        </w:tc>
        <w:tc>
          <w:p>
            <w:pPr>
              <w:pStyle w:val="Compact"/>
              <w:jc w:val="left"/>
            </w:pPr>
            <w:r>
              <w:t xml:space="preserve">0.28</w:t>
            </w:r>
          </w:p>
        </w:tc>
        <w:tc>
          <w:p>
            <w:pPr>
              <w:pStyle w:val="Compact"/>
              <w:jc w:val="left"/>
            </w:pPr>
            <w:r>
              <w:t xml:space="preserve">0.78</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-0.28</w:t>
            </w:r>
          </w:p>
        </w:tc>
        <w:tc>
          <w:p>
            <w:pPr>
              <w:pStyle w:val="Compact"/>
              <w:jc w:val="left"/>
            </w:pPr>
            <w:r>
              <w:t xml:space="preserve">0.22</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12: The model residuals from the gaussian mixed-effects regression of ODS min/hr for the turn-taking sample.</w:t>
      </w:r>
    </w:p>
    <w:p>
      <w:pPr>
        <w:pStyle w:val="Textkrper"/>
      </w:pPr>
    </w:p>
    <w:p>
      <w:pPr>
        <w:pStyle w:val="berschrift1"/>
      </w:pPr>
      <w:bookmarkStart w:id="43" w:name="refs"/>
      <w:bookmarkEnd w:id="43"/>
      <w:r>
        <w:t xml:space="preserve">References</w:t>
      </w:r>
    </w:p>
    <w:p>
      <w:pPr>
        <w:pStyle w:val="FirstParagraph"/>
      </w:pPr>
      <w:r>
        <w:t xml:space="preserve"> </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 378–400.</w:t>
      </w:r>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w:t>
      </w:r>
      <w:r>
        <w:t xml:space="preserve"> </w:t>
      </w:r>
      <w:hyperlink r:id="rId44">
        <w:r>
          <w:rPr>
            <w:rStyle w:val="Hyperlink"/>
          </w:rPr>
          <w:t xml:space="preserve">https://doi.org/10.1101/132753</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 XX–XX.</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 378–400.</w:t>
      </w:r>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w:t>
      </w:r>
      <w:r>
        <w:t xml:space="preserve"> </w:t>
      </w:r>
      <w:hyperlink r:id="rId44">
        <w:r>
          <w:rPr>
            <w:rStyle w:val="Hyperlink"/>
          </w:rPr>
          <w:t xml:space="preserve">https://doi.org/10.1101/132753</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 XX–XX.</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35447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4" Target="https://doi.org/10.1101/132753"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132753"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Papuan community</dc:title>
  <dc:creator/>
  <dcterms:created xsi:type="dcterms:W3CDTF">2020-06-24T08:59:06Z</dcterms:created>
  <dcterms:modified xsi:type="dcterms:W3CDTF">2020-06-24T08:59:06Z</dcterms:modified>
</cp:coreProperties>
</file>