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3C102" w14:textId="77777777" w:rsidR="00B536CC" w:rsidRDefault="00856695">
      <w:pPr>
        <w:pStyle w:val="Title"/>
      </w:pPr>
      <w:r>
        <w:t>Abstract</w:t>
      </w:r>
    </w:p>
    <w:p w14:paraId="03B055ED" w14:textId="77777777" w:rsidR="00B536CC" w:rsidRDefault="00856695">
      <w:pPr>
        <w:pStyle w:val="BodyText"/>
      </w:pPr>
      <w:r>
        <w:t>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Rossel Island, Papua New Guinea</w:t>
      </w:r>
      <w:proofErr w:type="gramStart"/>
      <w:r>
        <w:t>;</w:t>
      </w:r>
      <w:proofErr w:type="gramEnd"/>
      <w:r>
        <w:t xml:space="preserve">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w:t>
      </w:r>
      <w:proofErr w:type="gramStart"/>
      <w:r>
        <w:t>their linguistic input rates were primarily affected by circumstantial aspects of everyday life</w:t>
      </w:r>
      <w:proofErr w:type="gramEnd"/>
      <w:r>
        <w:t xml:space="preserv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14:paraId="1EDD23AA" w14:textId="77777777" w:rsidR="00B536CC" w:rsidRDefault="00856695">
      <w:pPr>
        <w:pStyle w:val="BodyText"/>
      </w:pPr>
      <w:r>
        <w:rPr>
          <w:i/>
        </w:rPr>
        <w:t>Keywords:</w:t>
      </w:r>
      <w:r>
        <w:t xml:space="preserve"> Child-directed speech, linguistic input, non-WEIRD, vocal maturity, interaction, Papuan</w:t>
      </w:r>
    </w:p>
    <w:p w14:paraId="24ADFDF0" w14:textId="77777777" w:rsidR="00B536CC" w:rsidRDefault="00856695">
      <w:pPr>
        <w:pStyle w:val="BodyText"/>
      </w:pPr>
      <w:r>
        <w:t xml:space="preserve">Word count: 11648 (9927 in the main text, </w:t>
      </w:r>
      <w:bookmarkStart w:id="0" w:name="_GoBack"/>
      <w:r>
        <w:t xml:space="preserve">excluding </w:t>
      </w:r>
      <w:bookmarkEnd w:id="0"/>
      <w:r>
        <w:t>references)</w:t>
      </w:r>
    </w:p>
    <w:p w14:paraId="41F3971C" w14:textId="77777777" w:rsidR="00B536CC" w:rsidRDefault="00856695">
      <w:pPr>
        <w:pStyle w:val="Title"/>
      </w:pPr>
      <w:r>
        <w:lastRenderedPageBreak/>
        <w:t>Early language experience in a Papuan community</w:t>
      </w:r>
    </w:p>
    <w:p w14:paraId="38F8EC7B" w14:textId="77777777" w:rsidR="00B536CC" w:rsidRDefault="00856695">
      <w:pPr>
        <w:pStyle w:val="Heading1"/>
      </w:pPr>
      <w:bookmarkStart w:id="1" w:name="intro"/>
      <w:bookmarkEnd w:id="1"/>
      <w:r>
        <w:t>Introduction</w:t>
      </w:r>
    </w:p>
    <w:p w14:paraId="40950652" w14:textId="77777777" w:rsidR="00B536CC" w:rsidRDefault="0085669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 However, we also know that language environments—e.g., who is around, talking about what to whom—vary dramatically within and across families, with children in some communities hearing very little directed talk yet not showing any apparent delays in their linguistic development (Brown, 2011, 2014; Brown &amp; Gaskins, 2014; Casillas, Brown, &amp; Levinson, 2019; Gaskins, 2006; Ochs &amp; Schieffelin, 1984). The key puzzle is then unmasking how the human cognitive toolkit for language learning can flexibly adapt to the variable contexts under which it successfully occurs. The first step along the way is actually documenting this variation.</w:t>
      </w:r>
    </w:p>
    <w:p w14:paraId="30205740" w14:textId="77777777" w:rsidR="00B536CC" w:rsidRDefault="00856695">
      <w:pPr>
        <w:pStyle w:val="BodyText"/>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w:t>
      </w:r>
      <w:proofErr w:type="gramStart"/>
      <w:r>
        <w:lastRenderedPageBreak/>
        <w:t>longitudinal</w:t>
      </w:r>
      <w:proofErr w:type="gramEnd"/>
      <w:r>
        <w:t xml:space="preserve"> video recordings of caregiver-child interaction, at home or in the lab, to get a grasp on what kinds of language children typically hear. This approach has been fruitful in teasing out individual and group-based differences in interactional behaviors (Cartmill et al., 2013; Hoff, 2003; Hurtado, Marchman, &amp; Fernald, 2008; Rowe, 2008).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to extract linguistic information from the audio.</w:t>
      </w:r>
    </w:p>
    <w:p w14:paraId="63BFF575" w14:textId="77777777" w:rsidR="00B536CC" w:rsidRDefault="00856695">
      <w:pPr>
        <w:pStyle w:val="BodyText"/>
      </w:pPr>
      <w:r>
        <w:t>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information. In particular, researchers investigating language development outside of their own cultural context may struggle in deciding which approach is best; identifying ‘typical’ or ‘representative’ 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Rossel Island (Milne Bay Province, Papua New Guinea).</w:t>
      </w:r>
    </w:p>
    <w:p w14:paraId="56388715" w14:textId="77777777" w:rsidR="00B536CC" w:rsidRDefault="00856695">
      <w:pPr>
        <w:pStyle w:val="Heading2"/>
      </w:pPr>
      <w:bookmarkStart w:id="2" w:name="the-close-study-approach"/>
      <w:bookmarkEnd w:id="2"/>
      <w:r>
        <w:lastRenderedPageBreak/>
        <w:t>The Close Study approach</w:t>
      </w:r>
    </w:p>
    <w:p w14:paraId="51A31AF4" w14:textId="77777777" w:rsidR="00B536CC" w:rsidRDefault="00856695">
      <w:pPr>
        <w:pStyle w:val="FirstParagraph"/>
      </w:pPr>
      <w:r>
        <w:t>Short video recordings 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analyses.</w:t>
      </w:r>
    </w:p>
    <w:p w14:paraId="794DD2D0" w14:textId="77777777" w:rsidR="00B536CC" w:rsidRDefault="00856695">
      <w:pPr>
        <w:pStyle w:val="BodyText"/>
      </w:pPr>
      <w:r>
        <w:t>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household relations and responsibilities, attitudes about childrearing, and what behaviors are expected of children and caregivers in the first years of life. In a situation where the researcher is a member of the community under study, assumptions about what to study and how are implicitly enriched by this knowledge. However, when the researcher is a visitor to the community, selecting the right measures and finding ways to compare them to child development outcomes in other sites is a serious challenge.</w:t>
      </w:r>
    </w:p>
    <w:p w14:paraId="399D5D0A" w14:textId="77777777" w:rsidR="00B536CC" w:rsidRDefault="00856695">
      <w:pPr>
        <w:pStyle w:val="BodyText"/>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w:t>
      </w:r>
      <w:r>
        <w:lastRenderedPageBreak/>
        <w:t>using this method can diligently track a variety of interactional contexts, the anchoring effect of a single video camera on the child (and caregivers) makes it difficult to capture daily activities that involve a lot of free motion (e.g., talking while running around) or activities that are not readily accessible to others (e.g., pre-sleep routines). In brief, it is difficult to capture the wide variety of activities involving language across the course of whole waking days.</w:t>
      </w:r>
    </w:p>
    <w:p w14:paraId="65071CA0" w14:textId="77777777" w:rsidR="00B536CC" w:rsidRDefault="00856695">
      <w:pPr>
        <w:pStyle w:val="Heading2"/>
      </w:pPr>
      <w:bookmarkStart w:id="3" w:name="the-panoramic-approach"/>
      <w:bookmarkEnd w:id="3"/>
      <w:r>
        <w:t>The Panoramic approach</w:t>
      </w:r>
    </w:p>
    <w:p w14:paraId="5CE217B7" w14:textId="77777777" w:rsidR="00B536CC" w:rsidRDefault="00856695">
      <w:pPr>
        <w:pStyle w:val="FirstParagraph"/>
      </w:pPr>
      <w:r>
        <w:t>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by speaker, activity, etc.). Accurate measures of linguistic input are critical for investigating how much experience is needed to acquire a given linguistic or communicative phenomenon. Starting up daylong recordings is quick and straightforward—the main hurdle is getting the child to wear the shirt in which the recorder is placed—and researchers have had success implementing these recordings in multiple cultural contexts (e.g., comparative studies like Bergelson et al., in preparation; Cychosz et al., under reviewa). Researchers can make daylong recordings with the popular but proprietary LENA system (Xu, Yapanel, &amp; Gray, 2009) or with their own custom system using manual or open-source automated annotation (Casillas &amp; Cristia, 2019). Once an efficient pipeline for annotation is established, researchers can collect comparable recordings from large, representative samples of a given language community.</w:t>
      </w:r>
    </w:p>
    <w:p w14:paraId="68B4AF67" w14:textId="77777777" w:rsidR="00B536CC" w:rsidRDefault="00856695">
      <w:pPr>
        <w:pStyle w:val="BodyText"/>
      </w:pPr>
      <w:r>
        <w:lastRenderedPageBreak/>
        <w:t>The Panoramic approach has several significant drawbacks (Casillas &amp; Cristia, 2019; Cychosz et al., acceptedb),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specific phenomena of interest. Researchers must therefore employ strategic sub-sampling techniques, even though best practices for doing so are not yet well established (Casillas &amp; Cristia, 2019). Second, even once clips are sampled from the daylong recording, adding relevant annotations to them can take nearly as long as a Close Study approach, but with reduced likelihood of capturing relevant language use behaviors. Third, single-day estimates are unlikely to hold stably across multiple days in the week; multi-day data is needed (Anderson &amp; Fausey, 2019). Fourth, properly collecting, processing, and archiving daylong data is difficult; participant habituation to the recorder is fantastic for documenting ecologically valid language, but raises urgent questions about participant privacy (Cychosz et al., acceptedb). Finally, at time of writing, there are few options for capturing concurrent visual information (but see our method below), increasing the difficulty of manual annotation compared to video recordings.</w:t>
      </w:r>
    </w:p>
    <w:p w14:paraId="76BA0025" w14:textId="77777777" w:rsidR="00B536CC" w:rsidRDefault="00856695">
      <w:pPr>
        <w:pStyle w:val="Heading2"/>
      </w:pPr>
      <w:bookmarkStart w:id="4" w:name="differing-perspectives-on-the-child-lang"/>
      <w:bookmarkEnd w:id="4"/>
      <w:r>
        <w:t>Differing perspectives on the child language environment</w:t>
      </w:r>
    </w:p>
    <w:p w14:paraId="58A483B3" w14:textId="77777777" w:rsidR="00B536CC" w:rsidRDefault="00856695">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studying development in culturally unfamiliar contexts. </w:t>
      </w:r>
      <w:r>
        <w:lastRenderedPageBreak/>
        <w:t>The ideal solution, of course, is to annotate and analyze large, representative samples of data, but doing so requires many years of well-funded multi-researcher commitment—a risky prospect for descriptive work.</w:t>
      </w:r>
    </w:p>
    <w:p w14:paraId="3A5D5866" w14:textId="77777777" w:rsidR="00B536CC" w:rsidRDefault="00856695">
      <w:pPr>
        <w:pStyle w:val="BodyText"/>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 (e.g., Brown, 2011, 2014; de León, 2011; Gaskins, 2000; Pye, 1986; Rogoff, Paradise, Arauz, Correa-Chávez, &amp; Angelillo, 2003). These findings lay out an extensive ideology of caregiving, including a number of component attitudes (e.g., infants as 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w:t>
      </w:r>
      <w:proofErr w:type="gramStart"/>
      <w:r>
        <w:t>Panoramic</w:t>
      </w:r>
      <w:proofErr w:type="gramEnd"/>
      <w:r>
        <w:t xml:space="preserve">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14:paraId="2A1509E3" w14:textId="77777777" w:rsidR="00B536CC" w:rsidRDefault="00856695">
      <w:pPr>
        <w:pStyle w:val="BodyText"/>
      </w:pPr>
      <w:r>
        <w:t xml:space="preserve">In the case of Mayan child language environments, findings using a larger-sample or Panoramic-type approach have been fairly consistent with the caregiving practices described in previous Close Study work. Shneidman (2012) used short videos of interaction to conduct a </w:t>
      </w:r>
      <w:r>
        <w:lastRenderedPageBreak/>
        <w:t>quantitative, longitudinal study of the Yucatec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 (2019) used daylong recordings with children in a Tseltal Mayan community, again finding that infants and young children were spoken to rarely. However, they found no increase in speech input with age, and the majority of speech came from adult women.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14:paraId="04291239" w14:textId="77777777" w:rsidR="00B536CC" w:rsidRDefault="00856695">
      <w:pPr>
        <w:pStyle w:val="BodyText"/>
      </w:pPr>
      <w:r>
        <w:t>Studies in a North American context have also tried to pinpoint the differences in close and panoramic views of the child language environment: short recordings display much denser input, with some changes in the types of language used, compared to longer recordings (Bergelson, Amatuni, Dailey, Koorathota, &amp; Tor, 2019a; Tamis-LeMonda, Kuchirko, Luo, Escobar, &amp; Bornstein, 2017). For example, Bergelson and colleagues (Bergelson et al., 2019a) 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 Bergelson et al. (2019a) for the full range of differences). That said</w:t>
      </w:r>
      <w:proofErr w:type="gramStart"/>
      <w:r>
        <w:t>,</w:t>
      </w:r>
      <w:proofErr w:type="gramEnd"/>
      <w:r>
        <w:t xml:space="preserve"> the overall profile of input </w:t>
      </w:r>
      <w:r>
        <w:rPr>
          <w:i/>
        </w:rPr>
        <w:t>type</w:t>
      </w:r>
      <w:r>
        <w:t xml:space="preserve"> was quite similar between the video data and the daylong recording sub-samples (e.g., relative use of different speech acts). Other work </w:t>
      </w:r>
      <w:r>
        <w:lastRenderedPageBreak/>
        <w:t>using varying durations of video (i.e., short-structured vs. longer-unstructured) with US child-caregiver pairs also found lower estimates for the rate of linguistic input in longer recordings, but found that children’s relative rank was stable across the two recording contexts (Tamis-LeMonda et al., 2017).</w:t>
      </w:r>
    </w:p>
    <w:p w14:paraId="36ACD67F" w14:textId="77777777" w:rsidR="00B536CC" w:rsidRDefault="00856695">
      <w:pPr>
        <w:pStyle w:val="BodyText"/>
      </w:pPr>
      <w:r>
        <w:t>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Participants’ behaviors in short recordings are also likely changed by the presence of the researcher (Labov, 1972, p. 209), even if only via their equipment left behind; the same issues may plague daylong recordings in more subtle ways (e.g., a parent spending the recording day elsewhere).</w:t>
      </w:r>
    </w:p>
    <w:p w14:paraId="1FAD8C0C" w14:textId="77777777" w:rsidR="00B536CC" w:rsidRDefault="00856695">
      <w:pPr>
        <w:pStyle w:val="BodyText"/>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The other population for which we have findings, US families, </w:t>
      </w:r>
      <w:r>
        <w:lastRenderedPageBreak/>
        <w:t xml:space="preserve">differs greatly from these Mayan communities in the circumstances of their everyday life (e.g., work patterns, number of co-residents, child sleeping routines), not to mention the structure of society as a whole.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 </w:t>
      </w:r>
      <w:r>
        <w:rPr>
          <w:i/>
        </w:rPr>
        <w:t>third</w:t>
      </w:r>
      <w:r>
        <w:t xml:space="preserve"> population; one in which caregivers consider young children to be viable conversational partners and, at the same time, maintain a comparable subsistence farming lifestyle to the Mayans. We here analyze child language environments from one such community.</w:t>
      </w:r>
    </w:p>
    <w:p w14:paraId="5FE26DE4" w14:textId="77777777" w:rsidR="00B536CC" w:rsidRDefault="00856695">
      <w:pPr>
        <w:pStyle w:val="Heading2"/>
      </w:pPr>
      <w:bookmarkStart w:id="5" w:name="the-current-study"/>
      <w:bookmarkEnd w:id="5"/>
      <w:r>
        <w:t>The current study</w:t>
      </w:r>
    </w:p>
    <w:p w14:paraId="0C9EB340" w14:textId="77777777" w:rsidR="00B536CC" w:rsidRDefault="00856695">
      <w:pPr>
        <w:pStyle w:val="FirstParagraph"/>
      </w:pPr>
      <w:r>
        <w:t xml:space="preserve">We analyze daylong recordings from Rossel Island, Papua New Guinea (PNG), a small-scale indigenous community in which prior ethnographic work (Brown &amp; Casillas, in press) has painted a clear picture of early caregiver-child interaction: child-centric, face-to-face interaction from the first days of infancy. Based on those findings, detailed below, we made four predictions about children’s speech environments. First, we predicted that children on Rossel Island would hear frequent child-directed speech from a wide variety of caregiver types throughout the day. Second, given that infants are frequently passed between caregivers, we expected to see weaker effects of the </w:t>
      </w:r>
      <w:proofErr w:type="gramStart"/>
      <w:r>
        <w:t>subsistence farming</w:t>
      </w:r>
      <w:proofErr w:type="gramEnd"/>
      <w:r>
        <w:t xml:space="preserve"> schedule on Rossel children’s input than has been found in other subsistence farming societies like the Tseltal Mayans (Casillas et al., 2019). Third, as children get older, we expected to see a large increase in the proportion of child-directed speech coming from other children, as seen in the Yucatec Mayan community (Shneidman &amp; Goldin-</w:t>
      </w:r>
      <w:r>
        <w:lastRenderedPageBreak/>
        <w:t>Meadow, 2012). Fourth, we expected a large quantity of other-directed speech around them, given the large number of family numbers typically present.</w:t>
      </w:r>
    </w:p>
    <w:p w14:paraId="3F4F558C" w14:textId="77777777" w:rsidR="00B536CC" w:rsidRDefault="00856695">
      <w:pPr>
        <w:pStyle w:val="BodyText"/>
      </w:pPr>
      <w:r>
        <w:t>We also expected to replicate three language environment patterns that have consistently emerged across Western and non-Western daylong recording studies (i.e., not specific to Rossel Island): (a) no increase in child-directed speech rate across age, (b) a decrease in other-directed speech rate across age, and (c) a non-uniform, bursty distribution of directed talk over the day (Abney, Smith, &amp; Yu, 2017; Bergelson et al., 2019b; Casillas et al., 2019; Scaff, Stieglitz, Casillas, &amp; Cristia, in preparation).</w:t>
      </w:r>
    </w:p>
    <w:p w14:paraId="6191B7A5" w14:textId="77777777" w:rsidR="00B536CC" w:rsidRDefault="00856695">
      <w:pPr>
        <w:pStyle w:val="BodyText"/>
      </w:pPr>
      <w:r>
        <w:t>In what follows we will review the ethnographic work done in this community previously, describe our methods for following up on these findings with daylong recordings, present the current findings, and discuss the differences that arose. All methods for annotation and analysis in this study closely follow those reported elsewhere for Tseltal Mayan children’s speech environments (Casillas et al., 2019).</w:t>
      </w:r>
    </w:p>
    <w:p w14:paraId="2E3F2257" w14:textId="77777777" w:rsidR="00B536CC" w:rsidRDefault="00856695">
      <w:pPr>
        <w:pStyle w:val="Heading1"/>
      </w:pPr>
      <w:bookmarkStart w:id="6" w:name="methods"/>
      <w:bookmarkEnd w:id="6"/>
      <w:r>
        <w:t>Method</w:t>
      </w:r>
    </w:p>
    <w:p w14:paraId="47151E93" w14:textId="77777777" w:rsidR="00B536CC" w:rsidRDefault="00856695">
      <w:pPr>
        <w:pStyle w:val="Heading2"/>
      </w:pPr>
      <w:bookmarkStart w:id="7" w:name="methods-dataset"/>
      <w:bookmarkEnd w:id="7"/>
      <w:r>
        <w:t>Corpus</w:t>
      </w:r>
    </w:p>
    <w:p w14:paraId="1042C55F" w14:textId="77777777" w:rsidR="00B536CC" w:rsidRDefault="0085669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subsistence farmers, cultivating taro, sweet potato, manioc, yam, </w:t>
      </w:r>
      <w:r>
        <w:lastRenderedPageBreak/>
        <w:t>coconut, and more for their daily subsistence, with protein coming from fishing and (occasionally) slaughtering pigs or local animals. Children often forage independently for shellfish and wild nuts, extra sources of protein. Most children on Rossel Island grow up speaking Yélî Dnye monolingually at home, learning English as a second language once they begin school around age 7. Children grow up in patrilocal household clusters (i.e., their family and their father’s brothers’ families), usually arranged such that there is some shared open space between households.</w:t>
      </w:r>
    </w:p>
    <w:p w14:paraId="6C9A8A6D" w14:textId="77777777" w:rsidR="00B536CC" w:rsidRDefault="00856695">
      <w:pPr>
        <w:pStyle w:val="BodyText"/>
      </w:pPr>
      <w:r>
        <w:t>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eating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7FBD6B49" w14:textId="77777777" w:rsidR="00B536CC" w:rsidRDefault="00856695">
      <w:pPr>
        <w:pStyle w:val="BodyText"/>
      </w:pPr>
      <w:proofErr w:type="gramStart"/>
      <w:r>
        <w:t>Interaction with infants and young children on Rossel Island is initiated by women, men, girls, and boys alike in a face-to-face, contingency-seeking, and affect-laden style</w:t>
      </w:r>
      <w:proofErr w:type="gramEnd"/>
      <w:r>
        <w:t xml:space="preserve"> (Brown, 2011; Brown &amp; Casillas, in press). Children are considered a shared responsibility, but also a source of </w:t>
      </w:r>
      <w:r>
        <w:lastRenderedPageBreak/>
        <w:t>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be observers of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20C9BABF" w14:textId="77777777" w:rsidR="00B536CC" w:rsidRDefault="00856695">
      <w:pPr>
        <w:pStyle w:val="BodyText"/>
      </w:pPr>
      <w:r>
        <w:t xml:space="preserve">The data presented here come from the Rossel Island subset of </w:t>
      </w:r>
      <w:proofErr w:type="gramStart"/>
      <w:r>
        <w:t>the ,</w:t>
      </w:r>
      <w:proofErr w:type="gramEnd"/>
      <w:r>
        <w:t xml:space="preserve"> a collection of raw daylong recordings and supplementary data from over 100 children under age four growing up on Rossel Island . The Rossel Island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w:t>
      </w:r>
      <w:r>
        <w:lastRenderedPageBreak/>
        <w:t xml:space="preserve">(median = 2.6; range = 1.75–5.2). Household size, defined here as the number of people sharing kitchen and sleeping areas on a daily basis, ranged between 3 and 12 (mean = 7; median = 7). Households are clustered into small patrilocal </w:t>
      </w:r>
      <w:proofErr w:type="gramStart"/>
      <w:r>
        <w:t>hamlets which</w:t>
      </w:r>
      <w:proofErr w:type="gramEnd"/>
      <w:r>
        <w:t xml:space="preserve"> form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ootnoteReference"/>
        </w:rPr>
        <w:footnoteReference w:id="1"/>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w:t>
      </w:r>
      <w:r>
        <w:lastRenderedPageBreak/>
        <w:t xml:space="preserve">more easily compare the present sample to that used in Casillas et al. (2019). To our knowledge at the time of recording, all but two children were typically developing; one showed signs of significant language delay and one showed signs of multiple developmental </w:t>
      </w:r>
      <w:proofErr w:type="gramStart"/>
      <w:r>
        <w:t>delay</w:t>
      </w:r>
      <w:proofErr w:type="gramEnd"/>
      <w:r>
        <w:t xml:space="preserve"> (motor, language, intellectual). Both children’s delays were consistently observed in follow-up trips in 2018 and 2019. Their recordings are not included in the analyses reported below.</w:t>
      </w:r>
    </w:p>
    <w:p w14:paraId="760DE229" w14:textId="77777777" w:rsidR="00B536CC" w:rsidRDefault="00856695">
      <w:pPr>
        <w:pStyle w:val="BodyText"/>
      </w:pPr>
      <w:r>
        <w:t>Dates of birth for children were initially collected via parent report. We were able to verify the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14:paraId="0DAA489E" w14:textId="77777777" w:rsidR="00B536CC" w:rsidRDefault="00856695">
      <w:pPr>
        <w:pStyle w:val="BodyText"/>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w:t>
      </w:r>
      <w:r>
        <w:lastRenderedPageBreak/>
        <w:t>create photo-linked audio files of each recording, which we then formatted as video files (see URL_MASKED_FOR_REVIEW for scripts). The informed consent process used with participants, as well as data collection and storage, were conducted in accordance with ethical guidelines approved by the Radboud University Social Sciences Ethics Committee.</w:t>
      </w:r>
    </w:p>
    <w:p w14:paraId="58B0837A" w14:textId="77777777" w:rsidR="00B536CC" w:rsidRDefault="00856695">
      <w:pPr>
        <w:pStyle w:val="Compact"/>
      </w:pPr>
      <w:r>
        <w:t>Table 1:</w:t>
      </w:r>
    </w:p>
    <w:p w14:paraId="06B0D45D" w14:textId="77777777" w:rsidR="00B536CC" w:rsidRDefault="00856695">
      <w:pPr>
        <w:pStyle w:val="Compact"/>
      </w:pPr>
      <w:r>
        <w:rPr>
          <w:i/>
        </w:rPr>
        <w:t>Demographic overview of the 10 children whose recordings are sampled in the current study, including from left to right: child’s age (years</w:t>
      </w:r>
      <w:proofErr w:type="gramStart"/>
      <w:r>
        <w:rPr>
          <w:i/>
        </w:rPr>
        <w:t>;months.days</w:t>
      </w:r>
      <w:proofErr w:type="gramEnd"/>
      <w:r>
        <w:rPr>
          <w:i/>
        </w:rPr>
        <w:t>); child’s sex (M/F); mother’s age (years); highest level of maternal education achieved (none (grades 0–5)/primary (grades 6–7)/secondary (grades 8–11)/preparatory (grade 12));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B536CC" w14:paraId="4E3FE551" w14:textId="77777777">
        <w:tc>
          <w:tcPr>
            <w:tcW w:w="0" w:type="auto"/>
            <w:tcBorders>
              <w:bottom w:val="single" w:sz="0" w:space="0" w:color="auto"/>
            </w:tcBorders>
            <w:vAlign w:val="bottom"/>
          </w:tcPr>
          <w:p w14:paraId="48CF9C9F" w14:textId="77777777" w:rsidR="00B536CC" w:rsidRDefault="00856695">
            <w:pPr>
              <w:pStyle w:val="Compact"/>
            </w:pPr>
            <w:r>
              <w:t>Age</w:t>
            </w:r>
          </w:p>
        </w:tc>
        <w:tc>
          <w:tcPr>
            <w:tcW w:w="0" w:type="auto"/>
            <w:tcBorders>
              <w:bottom w:val="single" w:sz="0" w:space="0" w:color="auto"/>
            </w:tcBorders>
            <w:vAlign w:val="bottom"/>
          </w:tcPr>
          <w:p w14:paraId="5FB85960" w14:textId="77777777" w:rsidR="00B536CC" w:rsidRDefault="00856695">
            <w:pPr>
              <w:pStyle w:val="Compact"/>
            </w:pPr>
            <w:r>
              <w:t>Sex</w:t>
            </w:r>
          </w:p>
        </w:tc>
        <w:tc>
          <w:tcPr>
            <w:tcW w:w="0" w:type="auto"/>
            <w:tcBorders>
              <w:bottom w:val="single" w:sz="0" w:space="0" w:color="auto"/>
            </w:tcBorders>
            <w:vAlign w:val="bottom"/>
          </w:tcPr>
          <w:p w14:paraId="3E499B01" w14:textId="77777777" w:rsidR="00B536CC" w:rsidRDefault="00856695">
            <w:pPr>
              <w:pStyle w:val="Compact"/>
            </w:pPr>
            <w:r>
              <w:t>Mother’s age</w:t>
            </w:r>
          </w:p>
        </w:tc>
        <w:tc>
          <w:tcPr>
            <w:tcW w:w="0" w:type="auto"/>
            <w:tcBorders>
              <w:bottom w:val="single" w:sz="0" w:space="0" w:color="auto"/>
            </w:tcBorders>
            <w:vAlign w:val="bottom"/>
          </w:tcPr>
          <w:p w14:paraId="28CC5B1E" w14:textId="77777777" w:rsidR="00B536CC" w:rsidRDefault="00856695">
            <w:pPr>
              <w:pStyle w:val="Compact"/>
            </w:pPr>
            <w:r>
              <w:t>Level of maternal education</w:t>
            </w:r>
          </w:p>
        </w:tc>
        <w:tc>
          <w:tcPr>
            <w:tcW w:w="0" w:type="auto"/>
            <w:tcBorders>
              <w:bottom w:val="single" w:sz="0" w:space="0" w:color="auto"/>
            </w:tcBorders>
            <w:vAlign w:val="bottom"/>
          </w:tcPr>
          <w:p w14:paraId="42D05B00" w14:textId="77777777" w:rsidR="00B536CC" w:rsidRDefault="00856695">
            <w:pPr>
              <w:pStyle w:val="Compact"/>
            </w:pPr>
            <w:r>
              <w:t>People in household</w:t>
            </w:r>
          </w:p>
        </w:tc>
      </w:tr>
      <w:tr w:rsidR="00B536CC" w14:paraId="70232DFB" w14:textId="77777777">
        <w:tc>
          <w:tcPr>
            <w:tcW w:w="0" w:type="auto"/>
          </w:tcPr>
          <w:p w14:paraId="044D37DC" w14:textId="77777777" w:rsidR="00B536CC" w:rsidRDefault="00856695">
            <w:pPr>
              <w:pStyle w:val="Compact"/>
            </w:pPr>
            <w:r>
              <w:t>00;01.09</w:t>
            </w:r>
          </w:p>
        </w:tc>
        <w:tc>
          <w:tcPr>
            <w:tcW w:w="0" w:type="auto"/>
          </w:tcPr>
          <w:p w14:paraId="2164A7D3" w14:textId="77777777" w:rsidR="00B536CC" w:rsidRDefault="00856695">
            <w:pPr>
              <w:pStyle w:val="Compact"/>
            </w:pPr>
            <w:r>
              <w:t>F</w:t>
            </w:r>
          </w:p>
        </w:tc>
        <w:tc>
          <w:tcPr>
            <w:tcW w:w="0" w:type="auto"/>
          </w:tcPr>
          <w:p w14:paraId="2D870645" w14:textId="77777777" w:rsidR="00B536CC" w:rsidRDefault="00856695">
            <w:pPr>
              <w:pStyle w:val="Compact"/>
            </w:pPr>
            <w:r>
              <w:t>31</w:t>
            </w:r>
          </w:p>
        </w:tc>
        <w:tc>
          <w:tcPr>
            <w:tcW w:w="0" w:type="auto"/>
          </w:tcPr>
          <w:p w14:paraId="30085CE2" w14:textId="77777777" w:rsidR="00B536CC" w:rsidRDefault="00856695">
            <w:pPr>
              <w:pStyle w:val="Compact"/>
            </w:pPr>
            <w:proofErr w:type="gramStart"/>
            <w:r>
              <w:t>secondary</w:t>
            </w:r>
            <w:proofErr w:type="gramEnd"/>
          </w:p>
        </w:tc>
        <w:tc>
          <w:tcPr>
            <w:tcW w:w="0" w:type="auto"/>
          </w:tcPr>
          <w:p w14:paraId="4BE01F72" w14:textId="77777777" w:rsidR="00B536CC" w:rsidRDefault="00856695">
            <w:pPr>
              <w:pStyle w:val="Compact"/>
            </w:pPr>
            <w:r>
              <w:t>8</w:t>
            </w:r>
          </w:p>
        </w:tc>
      </w:tr>
      <w:tr w:rsidR="00B536CC" w14:paraId="3EDECF29" w14:textId="77777777">
        <w:tc>
          <w:tcPr>
            <w:tcW w:w="0" w:type="auto"/>
          </w:tcPr>
          <w:p w14:paraId="10A7E0A9" w14:textId="77777777" w:rsidR="00B536CC" w:rsidRDefault="00856695">
            <w:pPr>
              <w:pStyle w:val="Compact"/>
            </w:pPr>
            <w:r>
              <w:t>00;03.19</w:t>
            </w:r>
          </w:p>
        </w:tc>
        <w:tc>
          <w:tcPr>
            <w:tcW w:w="0" w:type="auto"/>
          </w:tcPr>
          <w:p w14:paraId="13626B38" w14:textId="77777777" w:rsidR="00B536CC" w:rsidRDefault="00856695">
            <w:pPr>
              <w:pStyle w:val="Compact"/>
            </w:pPr>
            <w:r>
              <w:t>M</w:t>
            </w:r>
          </w:p>
        </w:tc>
        <w:tc>
          <w:tcPr>
            <w:tcW w:w="0" w:type="auto"/>
          </w:tcPr>
          <w:p w14:paraId="41B8032F" w14:textId="77777777" w:rsidR="00B536CC" w:rsidRDefault="00856695">
            <w:pPr>
              <w:pStyle w:val="Compact"/>
            </w:pPr>
            <w:r>
              <w:t>37</w:t>
            </w:r>
          </w:p>
        </w:tc>
        <w:tc>
          <w:tcPr>
            <w:tcW w:w="0" w:type="auto"/>
          </w:tcPr>
          <w:p w14:paraId="4B5EF29F" w14:textId="77777777" w:rsidR="00B536CC" w:rsidRDefault="00856695">
            <w:pPr>
              <w:pStyle w:val="Compact"/>
            </w:pPr>
            <w:proofErr w:type="gramStart"/>
            <w:r>
              <w:t>primary</w:t>
            </w:r>
            <w:proofErr w:type="gramEnd"/>
          </w:p>
        </w:tc>
        <w:tc>
          <w:tcPr>
            <w:tcW w:w="0" w:type="auto"/>
          </w:tcPr>
          <w:p w14:paraId="148EA1B8" w14:textId="77777777" w:rsidR="00B536CC" w:rsidRDefault="00856695">
            <w:pPr>
              <w:pStyle w:val="Compact"/>
            </w:pPr>
            <w:r>
              <w:t>9</w:t>
            </w:r>
          </w:p>
        </w:tc>
      </w:tr>
      <w:tr w:rsidR="00B536CC" w14:paraId="16B2339B" w14:textId="77777777">
        <w:tc>
          <w:tcPr>
            <w:tcW w:w="0" w:type="auto"/>
          </w:tcPr>
          <w:p w14:paraId="04BE1E08" w14:textId="77777777" w:rsidR="00B536CC" w:rsidRDefault="00856695">
            <w:pPr>
              <w:pStyle w:val="Compact"/>
            </w:pPr>
            <w:r>
              <w:t>00;04.13</w:t>
            </w:r>
          </w:p>
        </w:tc>
        <w:tc>
          <w:tcPr>
            <w:tcW w:w="0" w:type="auto"/>
          </w:tcPr>
          <w:p w14:paraId="0C92CCFC" w14:textId="77777777" w:rsidR="00B536CC" w:rsidRDefault="00856695">
            <w:pPr>
              <w:pStyle w:val="Compact"/>
            </w:pPr>
            <w:r>
              <w:t>M</w:t>
            </w:r>
          </w:p>
        </w:tc>
        <w:tc>
          <w:tcPr>
            <w:tcW w:w="0" w:type="auto"/>
          </w:tcPr>
          <w:p w14:paraId="76CE9C3C" w14:textId="77777777" w:rsidR="00B536CC" w:rsidRDefault="00856695">
            <w:pPr>
              <w:pStyle w:val="Compact"/>
            </w:pPr>
            <w:r>
              <w:t>24</w:t>
            </w:r>
          </w:p>
        </w:tc>
        <w:tc>
          <w:tcPr>
            <w:tcW w:w="0" w:type="auto"/>
          </w:tcPr>
          <w:p w14:paraId="6F4CAEF1" w14:textId="77777777" w:rsidR="00B536CC" w:rsidRDefault="00856695">
            <w:pPr>
              <w:pStyle w:val="Compact"/>
            </w:pPr>
            <w:proofErr w:type="gramStart"/>
            <w:r>
              <w:t>preparatory</w:t>
            </w:r>
            <w:proofErr w:type="gramEnd"/>
          </w:p>
        </w:tc>
        <w:tc>
          <w:tcPr>
            <w:tcW w:w="0" w:type="auto"/>
          </w:tcPr>
          <w:p w14:paraId="6BE04B35" w14:textId="77777777" w:rsidR="00B536CC" w:rsidRDefault="00856695">
            <w:pPr>
              <w:pStyle w:val="Compact"/>
            </w:pPr>
            <w:r>
              <w:t>5</w:t>
            </w:r>
          </w:p>
        </w:tc>
      </w:tr>
      <w:tr w:rsidR="00B536CC" w14:paraId="0D2F9D12" w14:textId="77777777">
        <w:tc>
          <w:tcPr>
            <w:tcW w:w="0" w:type="auto"/>
          </w:tcPr>
          <w:p w14:paraId="4D7284D2" w14:textId="77777777" w:rsidR="00B536CC" w:rsidRDefault="00856695">
            <w:pPr>
              <w:pStyle w:val="Compact"/>
            </w:pPr>
            <w:r>
              <w:t>00;07.18</w:t>
            </w:r>
          </w:p>
        </w:tc>
        <w:tc>
          <w:tcPr>
            <w:tcW w:w="0" w:type="auto"/>
          </w:tcPr>
          <w:p w14:paraId="3D5E3904" w14:textId="77777777" w:rsidR="00B536CC" w:rsidRDefault="00856695">
            <w:pPr>
              <w:pStyle w:val="Compact"/>
            </w:pPr>
            <w:r>
              <w:t>M</w:t>
            </w:r>
          </w:p>
        </w:tc>
        <w:tc>
          <w:tcPr>
            <w:tcW w:w="0" w:type="auto"/>
          </w:tcPr>
          <w:p w14:paraId="62BE284A" w14:textId="77777777" w:rsidR="00B536CC" w:rsidRDefault="00856695">
            <w:pPr>
              <w:pStyle w:val="Compact"/>
            </w:pPr>
            <w:r>
              <w:t>24</w:t>
            </w:r>
          </w:p>
        </w:tc>
        <w:tc>
          <w:tcPr>
            <w:tcW w:w="0" w:type="auto"/>
          </w:tcPr>
          <w:p w14:paraId="341C96EB" w14:textId="77777777" w:rsidR="00B536CC" w:rsidRDefault="00856695">
            <w:pPr>
              <w:pStyle w:val="Compact"/>
            </w:pPr>
            <w:proofErr w:type="gramStart"/>
            <w:r>
              <w:t>secondary</w:t>
            </w:r>
            <w:proofErr w:type="gramEnd"/>
          </w:p>
        </w:tc>
        <w:tc>
          <w:tcPr>
            <w:tcW w:w="0" w:type="auto"/>
          </w:tcPr>
          <w:p w14:paraId="47D68EC3" w14:textId="77777777" w:rsidR="00B536CC" w:rsidRDefault="00856695">
            <w:pPr>
              <w:pStyle w:val="Compact"/>
            </w:pPr>
            <w:r>
              <w:t>5</w:t>
            </w:r>
          </w:p>
        </w:tc>
      </w:tr>
      <w:tr w:rsidR="00B536CC" w14:paraId="79F629B3" w14:textId="77777777">
        <w:tc>
          <w:tcPr>
            <w:tcW w:w="0" w:type="auto"/>
          </w:tcPr>
          <w:p w14:paraId="76A960ED" w14:textId="77777777" w:rsidR="00B536CC" w:rsidRDefault="00856695">
            <w:pPr>
              <w:pStyle w:val="Compact"/>
            </w:pPr>
            <w:r>
              <w:t>00;09.03</w:t>
            </w:r>
          </w:p>
        </w:tc>
        <w:tc>
          <w:tcPr>
            <w:tcW w:w="0" w:type="auto"/>
          </w:tcPr>
          <w:p w14:paraId="5AF85670" w14:textId="77777777" w:rsidR="00B536CC" w:rsidRDefault="00856695">
            <w:pPr>
              <w:pStyle w:val="Compact"/>
            </w:pPr>
            <w:r>
              <w:t>F</w:t>
            </w:r>
          </w:p>
        </w:tc>
        <w:tc>
          <w:tcPr>
            <w:tcW w:w="0" w:type="auto"/>
          </w:tcPr>
          <w:p w14:paraId="0418E7B9" w14:textId="77777777" w:rsidR="00B536CC" w:rsidRDefault="00856695">
            <w:pPr>
              <w:pStyle w:val="Compact"/>
            </w:pPr>
            <w:r>
              <w:t>29</w:t>
            </w:r>
          </w:p>
        </w:tc>
        <w:tc>
          <w:tcPr>
            <w:tcW w:w="0" w:type="auto"/>
          </w:tcPr>
          <w:p w14:paraId="4A7E604D" w14:textId="77777777" w:rsidR="00B536CC" w:rsidRDefault="00856695">
            <w:pPr>
              <w:pStyle w:val="Compact"/>
            </w:pPr>
            <w:proofErr w:type="gramStart"/>
            <w:r>
              <w:t>secondary</w:t>
            </w:r>
            <w:proofErr w:type="gramEnd"/>
          </w:p>
        </w:tc>
        <w:tc>
          <w:tcPr>
            <w:tcW w:w="0" w:type="auto"/>
          </w:tcPr>
          <w:p w14:paraId="6D41375F" w14:textId="77777777" w:rsidR="00B536CC" w:rsidRDefault="00856695">
            <w:pPr>
              <w:pStyle w:val="Compact"/>
            </w:pPr>
            <w:r>
              <w:t>5</w:t>
            </w:r>
          </w:p>
        </w:tc>
      </w:tr>
      <w:tr w:rsidR="00B536CC" w14:paraId="78415DB1" w14:textId="77777777">
        <w:tc>
          <w:tcPr>
            <w:tcW w:w="0" w:type="auto"/>
          </w:tcPr>
          <w:p w14:paraId="73AAB155" w14:textId="77777777" w:rsidR="00B536CC" w:rsidRDefault="00856695">
            <w:pPr>
              <w:pStyle w:val="Compact"/>
            </w:pPr>
            <w:r>
              <w:t>01;00.29</w:t>
            </w:r>
          </w:p>
        </w:tc>
        <w:tc>
          <w:tcPr>
            <w:tcW w:w="0" w:type="auto"/>
          </w:tcPr>
          <w:p w14:paraId="76620D13" w14:textId="77777777" w:rsidR="00B536CC" w:rsidRDefault="00856695">
            <w:pPr>
              <w:pStyle w:val="Compact"/>
            </w:pPr>
            <w:r>
              <w:t>F</w:t>
            </w:r>
          </w:p>
        </w:tc>
        <w:tc>
          <w:tcPr>
            <w:tcW w:w="0" w:type="auto"/>
          </w:tcPr>
          <w:p w14:paraId="2A9C9434" w14:textId="77777777" w:rsidR="00B536CC" w:rsidRDefault="00856695">
            <w:pPr>
              <w:pStyle w:val="Compact"/>
            </w:pPr>
            <w:r>
              <w:t>30</w:t>
            </w:r>
          </w:p>
        </w:tc>
        <w:tc>
          <w:tcPr>
            <w:tcW w:w="0" w:type="auto"/>
          </w:tcPr>
          <w:p w14:paraId="53EE63EF" w14:textId="77777777" w:rsidR="00B536CC" w:rsidRDefault="00856695">
            <w:pPr>
              <w:pStyle w:val="Compact"/>
            </w:pPr>
            <w:proofErr w:type="gramStart"/>
            <w:r>
              <w:t>primary</w:t>
            </w:r>
            <w:proofErr w:type="gramEnd"/>
          </w:p>
        </w:tc>
        <w:tc>
          <w:tcPr>
            <w:tcW w:w="0" w:type="auto"/>
          </w:tcPr>
          <w:p w14:paraId="7B7CA7E1" w14:textId="77777777" w:rsidR="00B536CC" w:rsidRDefault="00856695">
            <w:pPr>
              <w:pStyle w:val="Compact"/>
            </w:pPr>
            <w:r>
              <w:t>9</w:t>
            </w:r>
          </w:p>
        </w:tc>
      </w:tr>
      <w:tr w:rsidR="00B536CC" w14:paraId="28756173" w14:textId="77777777">
        <w:tc>
          <w:tcPr>
            <w:tcW w:w="0" w:type="auto"/>
          </w:tcPr>
          <w:p w14:paraId="7EB45259" w14:textId="77777777" w:rsidR="00B536CC" w:rsidRDefault="00856695">
            <w:pPr>
              <w:pStyle w:val="Compact"/>
            </w:pPr>
            <w:r>
              <w:t>01;05.02</w:t>
            </w:r>
          </w:p>
        </w:tc>
        <w:tc>
          <w:tcPr>
            <w:tcW w:w="0" w:type="auto"/>
          </w:tcPr>
          <w:p w14:paraId="66C814B2" w14:textId="77777777" w:rsidR="00B536CC" w:rsidRDefault="00856695">
            <w:pPr>
              <w:pStyle w:val="Compact"/>
            </w:pPr>
            <w:r>
              <w:t>M</w:t>
            </w:r>
          </w:p>
        </w:tc>
        <w:tc>
          <w:tcPr>
            <w:tcW w:w="0" w:type="auto"/>
          </w:tcPr>
          <w:p w14:paraId="24CECDF4" w14:textId="77777777" w:rsidR="00B536CC" w:rsidRDefault="00856695">
            <w:pPr>
              <w:pStyle w:val="Compact"/>
            </w:pPr>
            <w:r>
              <w:t>25</w:t>
            </w:r>
          </w:p>
        </w:tc>
        <w:tc>
          <w:tcPr>
            <w:tcW w:w="0" w:type="auto"/>
          </w:tcPr>
          <w:p w14:paraId="2CBFC296" w14:textId="77777777" w:rsidR="00B536CC" w:rsidRDefault="00856695">
            <w:pPr>
              <w:pStyle w:val="Compact"/>
            </w:pPr>
            <w:proofErr w:type="gramStart"/>
            <w:r>
              <w:t>secondary</w:t>
            </w:r>
            <w:proofErr w:type="gramEnd"/>
          </w:p>
        </w:tc>
        <w:tc>
          <w:tcPr>
            <w:tcW w:w="0" w:type="auto"/>
          </w:tcPr>
          <w:p w14:paraId="5398D021" w14:textId="77777777" w:rsidR="00B536CC" w:rsidRDefault="00856695">
            <w:pPr>
              <w:pStyle w:val="Compact"/>
            </w:pPr>
            <w:r>
              <w:t>6</w:t>
            </w:r>
          </w:p>
        </w:tc>
      </w:tr>
      <w:tr w:rsidR="00B536CC" w14:paraId="2E1D8B89" w14:textId="77777777">
        <w:tc>
          <w:tcPr>
            <w:tcW w:w="0" w:type="auto"/>
          </w:tcPr>
          <w:p w14:paraId="3A283BFD" w14:textId="77777777" w:rsidR="00B536CC" w:rsidRDefault="00856695">
            <w:pPr>
              <w:pStyle w:val="Compact"/>
            </w:pPr>
            <w:r>
              <w:t>01;08.03</w:t>
            </w:r>
          </w:p>
        </w:tc>
        <w:tc>
          <w:tcPr>
            <w:tcW w:w="0" w:type="auto"/>
          </w:tcPr>
          <w:p w14:paraId="34923021" w14:textId="77777777" w:rsidR="00B536CC" w:rsidRDefault="00856695">
            <w:pPr>
              <w:pStyle w:val="Compact"/>
            </w:pPr>
            <w:r>
              <w:t>F</w:t>
            </w:r>
          </w:p>
        </w:tc>
        <w:tc>
          <w:tcPr>
            <w:tcW w:w="0" w:type="auto"/>
          </w:tcPr>
          <w:p w14:paraId="674D25F2" w14:textId="77777777" w:rsidR="00B536CC" w:rsidRDefault="00856695">
            <w:pPr>
              <w:pStyle w:val="Compact"/>
            </w:pPr>
            <w:r>
              <w:t>33</w:t>
            </w:r>
          </w:p>
        </w:tc>
        <w:tc>
          <w:tcPr>
            <w:tcW w:w="0" w:type="auto"/>
          </w:tcPr>
          <w:p w14:paraId="15B5AB74" w14:textId="77777777" w:rsidR="00B536CC" w:rsidRDefault="00856695">
            <w:pPr>
              <w:pStyle w:val="Compact"/>
            </w:pPr>
            <w:proofErr w:type="gramStart"/>
            <w:r>
              <w:t>primary</w:t>
            </w:r>
            <w:proofErr w:type="gramEnd"/>
          </w:p>
        </w:tc>
        <w:tc>
          <w:tcPr>
            <w:tcW w:w="0" w:type="auto"/>
          </w:tcPr>
          <w:p w14:paraId="757F4240" w14:textId="77777777" w:rsidR="00B536CC" w:rsidRDefault="00856695">
            <w:pPr>
              <w:pStyle w:val="Compact"/>
            </w:pPr>
            <w:r>
              <w:t>9</w:t>
            </w:r>
          </w:p>
        </w:tc>
      </w:tr>
      <w:tr w:rsidR="00B536CC" w14:paraId="38C1305F" w14:textId="77777777">
        <w:tc>
          <w:tcPr>
            <w:tcW w:w="0" w:type="auto"/>
          </w:tcPr>
          <w:p w14:paraId="3E7ECB08" w14:textId="77777777" w:rsidR="00B536CC" w:rsidRDefault="00856695">
            <w:pPr>
              <w:pStyle w:val="Compact"/>
            </w:pPr>
            <w:r>
              <w:t>02;01.22</w:t>
            </w:r>
          </w:p>
        </w:tc>
        <w:tc>
          <w:tcPr>
            <w:tcW w:w="0" w:type="auto"/>
          </w:tcPr>
          <w:p w14:paraId="213FB797" w14:textId="77777777" w:rsidR="00B536CC" w:rsidRDefault="00856695">
            <w:pPr>
              <w:pStyle w:val="Compact"/>
            </w:pPr>
            <w:r>
              <w:t>F</w:t>
            </w:r>
          </w:p>
        </w:tc>
        <w:tc>
          <w:tcPr>
            <w:tcW w:w="0" w:type="auto"/>
          </w:tcPr>
          <w:p w14:paraId="2472F2D9" w14:textId="77777777" w:rsidR="00B536CC" w:rsidRDefault="00856695">
            <w:pPr>
              <w:pStyle w:val="Compact"/>
            </w:pPr>
            <w:r>
              <w:t>21</w:t>
            </w:r>
          </w:p>
        </w:tc>
        <w:tc>
          <w:tcPr>
            <w:tcW w:w="0" w:type="auto"/>
          </w:tcPr>
          <w:p w14:paraId="68DB4440" w14:textId="77777777" w:rsidR="00B536CC" w:rsidRDefault="00856695">
            <w:pPr>
              <w:pStyle w:val="Compact"/>
            </w:pPr>
            <w:proofErr w:type="gramStart"/>
            <w:r>
              <w:t>secondary</w:t>
            </w:r>
            <w:proofErr w:type="gramEnd"/>
          </w:p>
        </w:tc>
        <w:tc>
          <w:tcPr>
            <w:tcW w:w="0" w:type="auto"/>
          </w:tcPr>
          <w:p w14:paraId="3ED627C9" w14:textId="77777777" w:rsidR="00B536CC" w:rsidRDefault="00856695">
            <w:pPr>
              <w:pStyle w:val="Compact"/>
            </w:pPr>
            <w:r>
              <w:t>4</w:t>
            </w:r>
          </w:p>
        </w:tc>
      </w:tr>
      <w:tr w:rsidR="00B536CC" w14:paraId="4DEE0C6A" w14:textId="77777777">
        <w:tc>
          <w:tcPr>
            <w:tcW w:w="0" w:type="auto"/>
          </w:tcPr>
          <w:p w14:paraId="66698AFF" w14:textId="77777777" w:rsidR="00B536CC" w:rsidRDefault="00856695">
            <w:pPr>
              <w:pStyle w:val="Compact"/>
            </w:pPr>
            <w:r>
              <w:t>02</w:t>
            </w:r>
            <w:proofErr w:type="gramStart"/>
            <w:r>
              <w:t>;11.29</w:t>
            </w:r>
            <w:proofErr w:type="gramEnd"/>
          </w:p>
        </w:tc>
        <w:tc>
          <w:tcPr>
            <w:tcW w:w="0" w:type="auto"/>
          </w:tcPr>
          <w:p w14:paraId="7A063459" w14:textId="77777777" w:rsidR="00B536CC" w:rsidRDefault="00856695">
            <w:pPr>
              <w:pStyle w:val="Compact"/>
            </w:pPr>
            <w:r>
              <w:t>M</w:t>
            </w:r>
          </w:p>
        </w:tc>
        <w:tc>
          <w:tcPr>
            <w:tcW w:w="0" w:type="auto"/>
          </w:tcPr>
          <w:p w14:paraId="5B1320C2" w14:textId="77777777" w:rsidR="00B536CC" w:rsidRDefault="00856695">
            <w:pPr>
              <w:pStyle w:val="Compact"/>
            </w:pPr>
            <w:r>
              <w:t>41</w:t>
            </w:r>
          </w:p>
        </w:tc>
        <w:tc>
          <w:tcPr>
            <w:tcW w:w="0" w:type="auto"/>
          </w:tcPr>
          <w:p w14:paraId="07DC9802" w14:textId="77777777" w:rsidR="00B536CC" w:rsidRDefault="00856695">
            <w:pPr>
              <w:pStyle w:val="Compact"/>
            </w:pPr>
            <w:proofErr w:type="gramStart"/>
            <w:r>
              <w:t>primary</w:t>
            </w:r>
            <w:proofErr w:type="gramEnd"/>
          </w:p>
        </w:tc>
        <w:tc>
          <w:tcPr>
            <w:tcW w:w="0" w:type="auto"/>
          </w:tcPr>
          <w:p w14:paraId="34C03CEC" w14:textId="77777777" w:rsidR="00B536CC" w:rsidRDefault="00856695">
            <w:pPr>
              <w:pStyle w:val="Compact"/>
            </w:pPr>
            <w:r>
              <w:t>8</w:t>
            </w:r>
          </w:p>
        </w:tc>
      </w:tr>
    </w:tbl>
    <w:p w14:paraId="405F20D0" w14:textId="3651D244" w:rsidR="00B536CC" w:rsidRDefault="00B536CC"/>
    <w:p w14:paraId="4C64ED66" w14:textId="77777777" w:rsidR="009D37E1" w:rsidRDefault="009D37E1">
      <w:pPr>
        <w:pStyle w:val="ImageCaption"/>
      </w:pPr>
      <w:r>
        <w:rPr>
          <w:noProof/>
        </w:rPr>
        <w:lastRenderedPageBreak/>
        <w:drawing>
          <wp:inline distT="0" distB="0" distL="0" distR="0" wp14:anchorId="189D9D2E" wp14:editId="2138996D">
            <wp:extent cx="5967730" cy="3449320"/>
            <wp:effectExtent l="0" t="0" r="1270" b="508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449320"/>
                    </a:xfrm>
                    <a:prstGeom prst="rect">
                      <a:avLst/>
                    </a:prstGeom>
                    <a:noFill/>
                    <a:ln>
                      <a:noFill/>
                    </a:ln>
                  </pic:spPr>
                </pic:pic>
              </a:graphicData>
            </a:graphic>
          </wp:inline>
        </w:drawing>
      </w:r>
    </w:p>
    <w:p w14:paraId="1C7AB164" w14:textId="56F4330D" w:rsidR="00B536CC" w:rsidRDefault="00856695">
      <w:pPr>
        <w:pStyle w:val="ImageCaption"/>
      </w:pPr>
      <w:r>
        <w:t>Figure 1: Recording duration (black line) and sampled clips (colored boxes) for each of the 10 recordings analyzed, sorted by child age in months.</w:t>
      </w:r>
    </w:p>
    <w:p w14:paraId="29F41D66" w14:textId="77777777" w:rsidR="00B536CC" w:rsidRDefault="00856695">
      <w:pPr>
        <w:pStyle w:val="Heading2"/>
      </w:pPr>
      <w:bookmarkStart w:id="8" w:name="methods-samples"/>
      <w:bookmarkEnd w:id="8"/>
      <w:r>
        <w:t>Data selection and annotation</w:t>
      </w:r>
    </w:p>
    <w:p w14:paraId="1518A441" w14:textId="77777777" w:rsidR="00B536CC" w:rsidRDefault="00856695">
      <w:pPr>
        <w:pStyle w:val="FirstParagraph"/>
      </w:pPr>
      <w:r>
        <w:t>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vocal activity 1-minute clips, and one manually-selected 5-minute expansion of the best one-minute clip, for a total of 37.5 minutes of transcribed audio for each child (6.25 audio hours in total). </w:t>
      </w:r>
      <w:r>
        <w:lastRenderedPageBreak/>
        <w:t xml:space="preserve">Manual clip selection guidelines are available </w:t>
      </w:r>
      <w:proofErr w:type="gramStart"/>
      <w:r>
        <w:t>at .</w:t>
      </w:r>
      <w:proofErr w:type="gramEnd"/>
      <w:r>
        <w:t xml:space="preserve"> We annotated limited 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6D620F0D" w14:textId="77777777" w:rsidR="00B536CC" w:rsidRDefault="00856695">
      <w:pPr>
        <w:pStyle w:val="BodyText"/>
      </w:pPr>
      <w:r>
        <w:t xml:space="preserve">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 ‘gold standard test’ for this annotation scheme can be found </w:t>
      </w:r>
      <w:proofErr w:type="gramStart"/>
      <w:r>
        <w:t>at .</w:t>
      </w:r>
      <w:proofErr w:type="gramEnd"/>
    </w:p>
    <w:p w14:paraId="65E863D3" w14:textId="77777777" w:rsidR="00B536CC" w:rsidRDefault="00856695">
      <w:pPr>
        <w:pStyle w:val="BodyText"/>
      </w:pPr>
      <w:r>
        <w:t xml:space="preserve">In what follows we first analyze the nine randomly selected 2.5-minute clips from each child to establish a baseline view of their speech environment, focusing on the effects of child </w:t>
      </w:r>
      <w:r>
        <w:lastRenderedPageBreak/>
        <w:t>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14:paraId="1F4A8A78" w14:textId="77777777" w:rsidR="00B536CC" w:rsidRDefault="00856695">
      <w:pPr>
        <w:pStyle w:val="Heading2"/>
      </w:pPr>
      <w:bookmarkStart w:id="9" w:name="statistical-models"/>
      <w:bookmarkEnd w:id="9"/>
      <w:r>
        <w:t>Statistical models</w:t>
      </w:r>
    </w:p>
    <w:p w14:paraId="09AED7E4" w14:textId="77777777" w:rsidR="00B536CC" w:rsidRDefault="00856695">
      <w:pPr>
        <w:pStyle w:val="FirstParagraph"/>
      </w:pPr>
      <w:r>
        <w:t xml:space="preserve">We conducted all analyses in R, using the glmmTMB package to run generalized linear mixed-effects regressions (M. E. Brooks et al., 2017; R Core Team, 2019) and ggplot2 to generate figures (Wickham, 2016). This dataset and analysis are available at URL_MASKED_FOR_REVIEW.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139D0572" w14:textId="77777777" w:rsidR="00B536CC" w:rsidRDefault="00856695">
      <w:pPr>
        <w:pStyle w:val="Heading1"/>
      </w:pPr>
      <w:bookmarkStart w:id="10" w:name="results"/>
      <w:bookmarkEnd w:id="10"/>
      <w:r>
        <w:lastRenderedPageBreak/>
        <w:t>Results</w:t>
      </w:r>
    </w:p>
    <w:p w14:paraId="09E6A210" w14:textId="77777777" w:rsidR="00B536CC" w:rsidRDefault="0085669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6FE3E367" w14:textId="5719D0AA" w:rsidR="00B536CC" w:rsidRDefault="009D37E1">
      <w:r>
        <w:rPr>
          <w:noProof/>
        </w:rPr>
        <w:drawing>
          <wp:inline distT="0" distB="0" distL="0" distR="0" wp14:anchorId="6C4F5738" wp14:editId="238F9A29">
            <wp:extent cx="5967730" cy="2197735"/>
            <wp:effectExtent l="0" t="0" r="1270" b="12065"/>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1497CAFA" w14:textId="77777777" w:rsidR="00B536CC" w:rsidRDefault="00856695">
      <w:pPr>
        <w:pStyle w:val="ImageCaption"/>
      </w:pPr>
      <w:r>
        <w:t>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14:paraId="1E52834F" w14:textId="77777777" w:rsidR="00B536CC" w:rsidRDefault="00856695">
      <w:pPr>
        <w:pStyle w:val="Heading2"/>
      </w:pPr>
      <w:bookmarkStart w:id="11" w:name="target-child-directed-speech-tcds"/>
      <w:bookmarkEnd w:id="11"/>
      <w:r>
        <w:t>Target-child-directed speech (TCDS)</w:t>
      </w:r>
    </w:p>
    <w:p w14:paraId="5E8420CC" w14:textId="77777777" w:rsidR="00B536CC" w:rsidRDefault="00856695">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w:t>
      </w:r>
      <w:r>
        <w:lastRenderedPageBreak/>
        <w:t>purple/solid summaries). For comparison, this is slightly less than reported values using a near-identical method of data collection, annotation, and analysis in a Tseltal Mayan community (3.6 minutes per hour for children under 3;0; Casillas et al. (2019)) and comparable to what has been reported using a similar method in a Tsimane community (1.6–4.8 minutes per hour for children under 3;0 depending on what speech is counted; Scaff et al., in preparation).</w:t>
      </w:r>
    </w:p>
    <w:p w14:paraId="0DEB2DAB" w14:textId="77777777" w:rsidR="00B536CC" w:rsidRDefault="0085669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significant effects in either the count or the zero-inflation models.</w:t>
      </w:r>
    </w:p>
    <w:p w14:paraId="1243C0C1" w14:textId="77777777" w:rsidR="00B536CC" w:rsidRDefault="00856695">
      <w:pPr>
        <w:pStyle w:val="BodyText"/>
      </w:pPr>
      <w:r>
        <w:t xml:space="preserve">Children heard TCDS from a variety of different speakers. Most TCDS came from adults (mean = 72.65%, median = 75.51%, range = 41.41–100%). On average, 82.35% of the total TCDS minutes from adults came from women. However, an increasing quantity of TCDS with </w:t>
      </w:r>
      <w:r>
        <w:lastRenderedPageBreak/>
        <w:t xml:space="preserve">age came from child speakers (child-TCDS, e.g., from siblings,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4C467877" w14:textId="7F938D2F" w:rsidR="00B536CC" w:rsidRDefault="009D37E1">
      <w:r>
        <w:rPr>
          <w:noProof/>
        </w:rPr>
        <w:drawing>
          <wp:inline distT="0" distB="0" distL="0" distR="0" wp14:anchorId="051FB87E" wp14:editId="6A52A512">
            <wp:extent cx="5967730" cy="3609340"/>
            <wp:effectExtent l="0" t="0" r="127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6884A97" w14:textId="77777777" w:rsidR="00B536CC" w:rsidRDefault="00856695">
      <w:pPr>
        <w:pStyle w:val="ImageCaption"/>
      </w:pPr>
      <w:r>
        <w:t>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75A26921" w14:textId="77777777" w:rsidR="00B536CC" w:rsidRDefault="00856695">
      <w:pPr>
        <w:pStyle w:val="Heading2"/>
      </w:pPr>
      <w:bookmarkStart w:id="12" w:name="other-directed-speech-ods"/>
      <w:bookmarkEnd w:id="12"/>
      <w:r>
        <w:t>Other-directed speech (ODS)</w:t>
      </w:r>
    </w:p>
    <w:p w14:paraId="72A814DD" w14:textId="77777777" w:rsidR="00B536CC" w:rsidRDefault="0085669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many clips displaying near-continuous background speech. For comparison, the prior estimate for </w:t>
      </w:r>
      <w:r>
        <w:lastRenderedPageBreak/>
        <w:t>Tseltal 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2019a).</w:t>
      </w:r>
    </w:p>
    <w:p w14:paraId="3535687C" w14:textId="77777777" w:rsidR="00B536CC" w:rsidRDefault="0085669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t>
      </w:r>
      <w:proofErr w:type="gramStart"/>
      <w:r>
        <w:t>whom</w:t>
      </w:r>
      <w:proofErr w:type="gramEnd"/>
      <w:r>
        <w:t xml:space="preserve"> were adults. Comparing again to Tseltal and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5CF61CCF" w14:textId="77777777" w:rsidR="00B536CC" w:rsidRDefault="00856695">
      <w:pPr>
        <w:pStyle w:val="BodyText"/>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w:t>
      </w:r>
      <w:r>
        <w:lastRenderedPageBreak/>
        <w:t>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68BC2124" w14:textId="77777777" w:rsidR="00B536CC" w:rsidRDefault="00856695">
      <w:pPr>
        <w:pStyle w:val="Heading2"/>
      </w:pPr>
      <w:bookmarkStart w:id="13" w:name="tcds-and-ods-during-interactional-peaks"/>
      <w:bookmarkEnd w:id="13"/>
      <w:r>
        <w:t>TCDS and ODS during interactional peaks</w:t>
      </w:r>
    </w:p>
    <w:p w14:paraId="14504A28" w14:textId="77777777" w:rsidR="00B536CC" w:rsidRDefault="0085669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The children heard much more TCDS in the turn-taking clips—14.45 min/hr; more than four times the rate of TCDS in the random baseline (</w:t>
      </w:r>
      <w:hyperlink w:anchor="fig2">
        <w:r>
          <w:rPr>
            <w:rStyle w:val="Hyperlink"/>
          </w:rPr>
          <w:t>Figure 2</w:t>
        </w:r>
      </w:hyperlink>
      <w:r>
        <w:t xml:space="preserve">, left panel, green/dashed summaries; median = 15.07; range = 9.61–18.73). Children also heard a reduced rate of ODS: 25.27 min/hr (70.39% of the random-sample ODS rate, </w:t>
      </w:r>
      <w:hyperlink w:anchor="fig2">
        <w:r>
          <w:rPr>
            <w:rStyle w:val="Hyperlink"/>
          </w:rPr>
          <w:t>Figure 2</w:t>
        </w:r>
      </w:hyperlink>
      <w:r>
        <w:t>, right panel, green/dashed summaries; median = 19.59; range = 6.68–60.18).</w:t>
      </w:r>
    </w:p>
    <w:p w14:paraId="67399F78" w14:textId="77777777" w:rsidR="00B536CC" w:rsidRDefault="0085669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 </w:t>
      </w:r>
      <w:hyperlink w:anchor="fig3">
        <w:r>
          <w:rPr>
            <w:rStyle w:val="Hyperlink"/>
          </w:rPr>
          <w:t>Figure 3</w:t>
        </w:r>
      </w:hyperlink>
      <w:r>
        <w:t>, bottom left panel).</w:t>
      </w:r>
    </w:p>
    <w:p w14:paraId="28A7AE9D" w14:textId="77777777" w:rsidR="00B536CC" w:rsidRDefault="00856695">
      <w:pPr>
        <w:pStyle w:val="BodyText"/>
      </w:pPr>
      <w:r>
        <w:t xml:space="preserve">As in the random sample, an increasing portion of TCDS during interactional peaks came from other children with age. While, overall, more of the TCDS in interactional peaks came from </w:t>
      </w:r>
      <w:r>
        <w:lastRenderedPageBreak/>
        <w:t xml:space="preserve">adults than in the random clips (mean = 82.68%, median = 88.04%, range = 50–100%), a Spearman’s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43E285B7" w14:textId="77777777" w:rsidR="00B536CC" w:rsidRDefault="0085669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64309EA9" w14:textId="77777777" w:rsidR="00B536CC" w:rsidRDefault="0085669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 (Casillas et al., 2019).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overhearable </w:t>
      </w:r>
      <w:r>
        <w:lastRenderedPageBreak/>
        <w:t>speech, underscoring the availability of other-addressed speech as a resource for linguistic input in this context.</w:t>
      </w:r>
    </w:p>
    <w:p w14:paraId="3843A9CA" w14:textId="77777777" w:rsidR="00B536CC" w:rsidRDefault="00856695">
      <w:pPr>
        <w:pStyle w:val="Heading2"/>
      </w:pPr>
      <w:bookmarkStart w:id="14" w:name="vocal-maturity"/>
      <w:bookmarkEnd w:id="14"/>
      <w:r>
        <w:t>Vocal maturity</w:t>
      </w:r>
    </w:p>
    <w:p w14:paraId="16D56F8B" w14:textId="77777777" w:rsidR="00B536CC" w:rsidRDefault="0085669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1524F413" w14:textId="77777777" w:rsidR="00B536CC" w:rsidRDefault="0085669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first year, first words appear around the first birthday, and multi-word utterances appear a few months after that (Frank et al., in preparation; Kuhl, 2004; Pine &amp; Lieven, 1993; Slobin, 1970; Tomasello &amp; Brooks, 1999; Warlaumont, Richards, Gilkerson, &amp; Oller, 2014). Rossel children also far exceeded the canonical babbling ratio (CBR) associated with major developmental delay (proportional use of speech-like vocalizations &gt; 0.15 by 0</w:t>
      </w:r>
      <w:proofErr w:type="gramStart"/>
      <w:r>
        <w:t>;10</w:t>
      </w:r>
      <w:proofErr w:type="gramEnd"/>
      <w:r>
        <w:t>; Cychosz et al., under reviewa; Oller, Eilers, Basinger, Steffens, &amp; Urbano, 1995); the minimum CBR among Rossel children 0;9 and older was 0.22 (mean = 0.63; median = 0.68; range = 0.22–0.86).</w:t>
      </w:r>
    </w:p>
    <w:p w14:paraId="45B448CE" w14:textId="77777777" w:rsidR="00B536CC" w:rsidRDefault="00856695">
      <w:pPr>
        <w:pStyle w:val="BodyText"/>
      </w:pPr>
      <w:r>
        <w:lastRenderedPageBreak/>
        <w:t>Over all annotated clips, children produced an average of 7.18 linguistic vocalizations per minute (median = 7.79; range = 4.57–8.95), less frequently than children in short recordings of American infant-caregiver interaction (Oller et al., 1995) but similar to estimates for Tseltal children (Brown, 2011; Casillas et al., 2019).</w:t>
      </w:r>
    </w:p>
    <w:p w14:paraId="3059E0C0" w14:textId="6DADBB73" w:rsidR="00B536CC" w:rsidRDefault="009D37E1">
      <w:r>
        <w:rPr>
          <w:noProof/>
        </w:rPr>
        <w:drawing>
          <wp:inline distT="0" distB="0" distL="0" distR="0" wp14:anchorId="28DE7127" wp14:editId="7050FAAD">
            <wp:extent cx="5967730" cy="3160395"/>
            <wp:effectExtent l="0" t="0" r="127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030FFE65" w14:textId="77777777" w:rsidR="00B536CC" w:rsidRDefault="00856695">
      <w:pPr>
        <w:pStyle w:val="ImageCaption"/>
      </w:pPr>
      <w:r>
        <w:t>Figure 4: Proportion of vocalization types used by children across age (NCB = Non-canonical babble, CB = Canonical babble, SW = single word utterance, MW = multi-word utterance).</w:t>
      </w:r>
    </w:p>
    <w:p w14:paraId="179F1799" w14:textId="77777777" w:rsidR="00B536CC" w:rsidRDefault="00856695">
      <w:pPr>
        <w:pStyle w:val="Heading1"/>
      </w:pPr>
      <w:bookmarkStart w:id="15" w:name="disc"/>
      <w:bookmarkEnd w:id="15"/>
      <w:r>
        <w:t>Discussion</w:t>
      </w:r>
    </w:p>
    <w:p w14:paraId="4D59172F" w14:textId="77777777" w:rsidR="00B536CC" w:rsidRDefault="00856695">
      <w:pPr>
        <w:pStyle w:val="FirstParagraph"/>
      </w:pPr>
      <w:r>
        <w:t>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14:paraId="6DDB454E" w14:textId="77777777" w:rsidR="00B536CC" w:rsidRDefault="00856695">
      <w:pPr>
        <w:pStyle w:val="BodyText"/>
      </w:pPr>
      <w:r>
        <w:lastRenderedPageBreak/>
        <w:t>Based on prior ethnographic work, we expected that these children would hear frequent child-directed speech from a wide variety of caregivers and frequent speech directed to others (Brown &amp; Casillas, in press). In fact, in these daylong audio recordings, children were rarely directly addressed. This low baseline rate of TCDS is comparable to that found in a Tseltal community where minimal TCDS is one means to socializing children into attending to their surroundings. On the other hand, the Rossel child speech environment contains ample overhearable speech; much more than has been reported elswhere, at time of writing. The low relative rate of TCDS and the high incidence of ODS may be partly attributable to the fact that several speakers are typically present across the day, as discussed further below.</w:t>
      </w:r>
    </w:p>
    <w:p w14:paraId="0FFEBC5F" w14:textId="77777777" w:rsidR="00B536CC" w:rsidRDefault="00856695">
      <w:pPr>
        <w:pStyle w:val="BodyText"/>
      </w:pPr>
      <w:r>
        <w:t xml:space="preserve">Prior work also led us to expect that the quantity of TCDS would be stable across the age range studied (Bergelson et al., 2019b; Casillas et al., 2019; Scaff et al., in preparation), and that an increasing proportion of it would come from other children (Brown, 2011; Brown &amp; Casillas, in press; Shneidman &amp; Goldin-Meadow, 2012). 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w:t>
      </w:r>
      <w:r>
        <w:lastRenderedPageBreak/>
        <w:t>they may be more likely hear more TCDS during random but not peak-based clips. All of these explanations require follow-up work from a larger sample of children and, ideally, from a larger sample of their interactions throughout the day. ODS decreased with age, consistent with prior Panoramic studies with both Western and non-Western samples (Bergelson et al., 2019b; Casillas et al., 2019; Scaff et al., in preparation).</w:t>
      </w:r>
    </w:p>
    <w:p w14:paraId="3A8D45E1" w14:textId="77777777" w:rsidR="00B536CC" w:rsidRDefault="00856695">
      <w:pPr>
        <w:pStyle w:val="BodyText"/>
      </w:pPr>
      <w:r>
        <w:t>Finally, while we anticipated that the children’s input would be non-uniformly distributed over the recording day (Abney et al., 2017; Casillas et al., 2019), we also expected to see a somewhat more even distribution of directed speech from morning to evening. Young Rossel children have been reported to pass between multiple caregivers during a typical day. We expected that this care-sharing practice might weaken the effect of farming activities on linguistic input rate, found in the late morning and early afternoon in previous work with Tseltal Mayan subsistence farmers (Casillas et al., 2019). In fact, we found that children’s rate of linguistic input was still significantly impacted by time of day, similar to the Tseltal farmers: most TCDS and ODS came during the morning, with older children more likely to hear TCDS at midday than younger children, possibly because midday is when most adults are likely attending to other duties while children congregate in large play groups.</w:t>
      </w:r>
    </w:p>
    <w:p w14:paraId="58BE9983" w14:textId="77777777" w:rsidR="00B536CC" w:rsidRDefault="00856695">
      <w:pPr>
        <w:pStyle w:val="Heading2"/>
      </w:pPr>
      <w:bookmarkStart w:id="16" w:name="diverging-close-study-and-panoramic-pers"/>
      <w:bookmarkEnd w:id="16"/>
      <w:r>
        <w:t>Diverging Close Study and Panoramic perspectives</w:t>
      </w:r>
    </w:p>
    <w:p w14:paraId="23140917" w14:textId="77777777" w:rsidR="00B536CC" w:rsidRDefault="00856695">
      <w:pPr>
        <w:pStyle w:val="FirstParagraph"/>
      </w:pPr>
      <w:r>
        <w:t xml:space="preserve">We predicted that infants on Rossel Island would hear more frequent directed speech than has been found in other subsistence farming contexts (e.g., Brown, 2011, 2014; Brown &amp; Casillas, in press; Casillas et al., 2019; de León, 2000; Frye, 2019; Ochs &amp; Schieffelin, 1984; Pye, 1986; Rumsey, San Roque, &amp; Schieffelin, 2013). We made this prediction on the basis of two prior ethnographic observations (see Brown &amp; Casillas (in press) for details). First, Rossel adults and children have been shown to talk to children, even young infants, as if they can </w:t>
      </w:r>
      <w:r>
        <w:lastRenderedPageBreak/>
        <w:t>understand and respond to what is being said. Second, infants and young children often traverse a wide network of caregivers who are available to interact with them for some period.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14:paraId="52AD6A4E" w14:textId="77777777" w:rsidR="00B536CC" w:rsidRDefault="00856695">
      <w:pPr>
        <w:pStyle w:val="BodyText"/>
      </w:pPr>
      <w:r>
        <w:t>We found that the 10 Rossel children here heard slightly less TCDS than was documented for the Tseltal children. Taking the Mayan and Papuan findings together, we suggest that the Panoramic approach is not effective for distinguishing distinct caregiver attitudes toward talking to young children. While Rossel caregivers view their children, even their young infants, as potential co-interactants in conversational play (Brown &amp; Casillas, in press), the circumstances of everyday life shape the children’s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 ‘available’ to interact with them, young children may accompany their varied caregivers in their shared daily tasks, switching from lap to lap without the activity context necessarily changing.</w:t>
      </w:r>
    </w:p>
    <w:p w14:paraId="61D41FF4" w14:textId="77777777" w:rsidR="00B536CC" w:rsidRDefault="00856695">
      <w:pPr>
        <w:pStyle w:val="BodyText"/>
      </w:pPr>
      <w:r>
        <w:lastRenderedPageBreak/>
        <w:t xml:space="preserve">When it comes to quantifying how much linguistic input children encounter, the Panoramic view yields the important insight that direct linguistic input is rare on average; it exists primarily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w:t>
      </w:r>
      <w:proofErr w:type="gramStart"/>
      <w:r>
        <w:t>Panoramic</w:t>
      </w:r>
      <w:proofErr w:type="gramEnd"/>
      <w:r>
        <w:t xml:space="preserve"> data demonstrate how the number of speakers present and the routines of everyday life strongly shape the overall rate of linguistic input available in children’s environments. That is, the forces shaping the rate of Rossel children’s linguistic input are somewhat different from the forces shaping the content and sources 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 (Shneidman, 2010; Shneidman &amp; Goldin-Meadow, 2012). Further cross-cultural work on children’s ability to learn from massed vs. distributed and directed vs. overhearable language use (e.g., Akhtar, Jipson, &amp; Callanan, 2001; Schwab &amp; Lew-Williams, 2016) is a critical route for further investigation into how these sources of linguistic input may be leveraged for language development.</w:t>
      </w:r>
    </w:p>
    <w:p w14:paraId="21DAC9E1" w14:textId="77777777" w:rsidR="00B536CC" w:rsidRDefault="00856695">
      <w:pPr>
        <w:pStyle w:val="Heading2"/>
      </w:pPr>
      <w:bookmarkStart w:id="17" w:name="independence-and-child-tcds"/>
      <w:bookmarkEnd w:id="17"/>
      <w:r>
        <w:lastRenderedPageBreak/>
        <w:t>Independence and child-TCDS</w:t>
      </w:r>
    </w:p>
    <w:p w14:paraId="617F8857" w14:textId="77777777" w:rsidR="00B536CC" w:rsidRDefault="00856695">
      <w:pPr>
        <w:pStyle w:val="FirstParagraph"/>
      </w:pPr>
      <w:r>
        <w:t xml:space="preserve">The increase in TCDS from other children in this Rossel data recalls findings from Shneidman and Goldin-Meadow (2012) in which Yucatec Mayan children’s directed speech rate increased enormously between ages one and three, primarily due to increased input from other children. We saw a significant, but much smaller overall increase in TCDS in these 10 Rossel children’s recordings, with an increasing proportion of that input coming from children. Interestingly, prior work with a Tseltal community—culturally more proximal to the Yucatec families studied in Shneidman and Goldin-Meadow (2012)—found no evidence for increased input from other children in this same age range (0;0–3;0; Casillas et al., 2019). The lack of child TCDS in the study of Tseltal Mayan children was attributed to the observation that they only begin to engage in independent, extended play with other children </w:t>
      </w:r>
      <w:r>
        <w:rPr>
          <w:i/>
        </w:rPr>
        <w:t>after</w:t>
      </w:r>
      <w:r>
        <w:t xml:space="preserve"> age three. In comparison, prior ethnographic work on Rossel Island highlights independence as a primary concern for parents of young children; from early toddlerhood Rossel children are encouraged to choose how they dress, when and what to eat, and who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 of day and interlocutor effects found here with ethnographic interview data are needed to explore these ideas in full. Overall, we see that children’s linguistic input shifts in the first three years, with proportionally more speech coming from less mature talkers; how this influences their early linguistic development, particularly given the minimal overall rate of TCDS, is open to further research.</w:t>
      </w:r>
    </w:p>
    <w:p w14:paraId="749E5602" w14:textId="77777777" w:rsidR="00B536CC" w:rsidRDefault="00856695">
      <w:pPr>
        <w:pStyle w:val="Heading2"/>
      </w:pPr>
      <w:bookmarkStart w:id="18" w:name="trade-offs-in-the-use-of-panoramic-metho"/>
      <w:bookmarkEnd w:id="18"/>
      <w:r>
        <w:lastRenderedPageBreak/>
        <w:t xml:space="preserve">Trade-offs in the use of </w:t>
      </w:r>
      <w:proofErr w:type="gramStart"/>
      <w:r>
        <w:t>Panoramic</w:t>
      </w:r>
      <w:proofErr w:type="gramEnd"/>
      <w:r>
        <w:t xml:space="preserve"> methods</w:t>
      </w:r>
    </w:p>
    <w:p w14:paraId="795673D9" w14:textId="77777777" w:rsidR="00B536CC" w:rsidRDefault="00856695">
      <w:pPr>
        <w:pStyle w:val="FirstParagraph"/>
      </w:pPr>
      <w:r>
        <w:t xml:space="preserve">The present study used </w:t>
      </w:r>
      <w:proofErr w:type="gramStart"/>
      <w:r>
        <w:t>Panoramic</w:t>
      </w:r>
      <w:proofErr w:type="gramEnd"/>
      <w:r>
        <w:t xml:space="preserve">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vocal maturity. A Close Study approach is needed in order to make semantically rich interpretations of what children are saying and hearing or to delineate cross-cultural differences in the content or style of child-directed speech.</w:t>
      </w:r>
    </w:p>
    <w:p w14:paraId="04A7460B" w14:textId="77777777" w:rsidR="00B536CC" w:rsidRDefault="00856695">
      <w:pPr>
        <w:pStyle w:val="BodyText"/>
      </w:pPr>
      <w:r>
        <w:t xml:space="preserve">While our Panoramic approach effectively captured circumstantial variation over the course of a waking day, it did </w:t>
      </w:r>
      <w:r>
        <w:rPr>
          <w:i/>
        </w:rPr>
        <w:t>not</w:t>
      </w:r>
      <w:r>
        <w:t xml:space="preserve"> completely avoid the Observer’s Paradox (Labov, 1972); upon transcribing the data we found both moments when the speakers seemed to ignore the recorder and moments when it was the focus of discussion. The latter case often arose when new interactants came into contact with the child—a relatively frequent event—prompting the caregiver to explain and warn about the devices. There was also at least one case when a mother reported that the father, who is typically at home, avoided our recorder by spending the entire day elsewhere. Daylong methods then may decrease the intensity and continuity of the Observer’s Paradox, but do not eliminate it entirely. With this in mind, close ethnographic work over a longer period with a handful of families may, in fact, be the optimal way to minimize these effects. However, this approach severely limits the possible sample size of a study. What, then, is the ideal approach for exploring the variable linguistic environments in which children are raised?</w:t>
      </w:r>
    </w:p>
    <w:p w14:paraId="2036D15D" w14:textId="77777777" w:rsidR="00B536CC" w:rsidRDefault="00856695">
      <w:pPr>
        <w:pStyle w:val="BodyText"/>
      </w:pPr>
      <w:r>
        <w:t xml:space="preserve">When it comes to drawing inferences about the deeper forces shaping caregiver-child interaction and how they vary across cultures or, for that matter, any other task that requires </w:t>
      </w:r>
      <w:r>
        <w:lastRenderedPageBreak/>
        <w:t xml:space="preserve">researchers to grapple with what is actually </w:t>
      </w:r>
      <w:r>
        <w:rPr>
          <w:i/>
        </w:rPr>
        <w:t>meant</w:t>
      </w:r>
      <w:r>
        <w:t xml:space="preserve"> during interaction, a Close Study approach is the only real option. Even when applying a microanalytic approach to short clips derived from daylong recordings, the researcher likely will lack sufficient visual and interactional context to adequately reconstruct the scene. In this use case, short recordings maintain an advantage, </w:t>
      </w:r>
      <w:proofErr w:type="gramStart"/>
      <w:r>
        <w:t>particularly when Observer Paradox effects can be reduced by investing significant time with each observed family</w:t>
      </w:r>
      <w:proofErr w:type="gramEnd"/>
      <w:r>
        <w:t xml:space="preserve"> (e.g., over a high-density longitudinal study).</w:t>
      </w:r>
    </w:p>
    <w:p w14:paraId="720AAD8E" w14:textId="77777777" w:rsidR="00B536CC" w:rsidRDefault="00856695">
      <w:pPr>
        <w:pStyle w:val="BodyText"/>
      </w:pPr>
      <w:r>
        <w:t xml:space="preserve">However, when it comes to quantifying the use of linguistic features in order to explore the feasibility of specific learning mechanisms (e.g., CDS as a facilitatory context for referential word learning), daylong data are crucial for establishing the frequency and circumstances under which the critical linguistic or interactional “data” are encountered. Given our present findings and those of Casillas et al. (2019), studies focused on particular linguistic features of CDS (e.g., relative use of certain syntactic structures) may benefit from focusing annotation time on interactional peaks—where these features are much more likely to be on display—with less time dedicated to establishing a baseline estimate of CDS frequency (see also Bergelson et al. (2019a)). Importantly, researchers making daylong recordings in a context where </w:t>
      </w:r>
      <w:proofErr w:type="gramStart"/>
      <w:r>
        <w:t>they</w:t>
      </w:r>
      <w:proofErr w:type="gramEnd"/>
      <w:r>
        <w:t xml:space="preserve"> are </w:t>
      </w:r>
      <w:proofErr w:type="gramStart"/>
      <w:r>
        <w:t>a cultural outsider</w:t>
      </w:r>
      <w:proofErr w:type="gramEnd"/>
      <w:r>
        <w:t xml:space="preserve"> should always do their recording collection in parallel with or following some ethnographic work to avoid the serious and potentially harmful pitfalls discussed in the Introduction (see also Cychosz et al. (acceptedb)).</w:t>
      </w:r>
    </w:p>
    <w:p w14:paraId="1EB11973" w14:textId="77777777" w:rsidR="00B536CC" w:rsidRDefault="00856695">
      <w:pPr>
        <w:pStyle w:val="BodyText"/>
      </w:pPr>
      <w:r>
        <w:t xml:space="preserve">We propose that the most promising long-term approach for using input patterns to test the feasibility of individual learning mechanisms is to strategically sub-sample daylong recordings made with a representative participant sample of the community studied, while maintaining comparable speech environment measures across communities whenever possible. This approach is suitable for tracking variation among related but distinct ethnolinguistic populations, which can </w:t>
      </w:r>
      <w:r>
        <w:lastRenderedPageBreak/>
        <w:t>help disentangle input and development effects related to the specific linguistic and cultural context in which each child is raised (as proposed by Pye (2017); or a diversity-centric approach, as in Moran, Schikowski, Pajović, Hysi, and Stoll (2016)), maintaining comparable speech environment measures whenever possible. The current study pales in comparison to this ideal, but hope to see this vision realized in future work.</w:t>
      </w:r>
    </w:p>
    <w:p w14:paraId="0B2A03CF" w14:textId="77777777" w:rsidR="00B536CC" w:rsidRDefault="00856695">
      <w:pPr>
        <w:pStyle w:val="Heading2"/>
      </w:pPr>
      <w:bookmarkStart w:id="19" w:name="disc-conclusion"/>
      <w:bookmarkEnd w:id="19"/>
      <w:r>
        <w:t>Conclusion</w:t>
      </w:r>
    </w:p>
    <w:p w14:paraId="65E0C40F" w14:textId="77777777" w:rsidR="00B536CC" w:rsidRDefault="00856695">
      <w:pPr>
        <w:pStyle w:val="FirstParagraph"/>
      </w:pPr>
      <w:r>
        <w:t>We estimate that, on average, children on Rossel Island under age 3</w:t>
      </w:r>
      <w:proofErr w:type="gramStart"/>
      <w:r>
        <w:t>;</w:t>
      </w:r>
      <w:proofErr w:type="gramEnd"/>
      <w:r>
        <w:t>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 (Cychosz et al., under reviewa; Lee, Jhang, Relyea, Chen, &amp; Oller, 2018; Warlaumont et al., 2014).</w:t>
      </w:r>
    </w:p>
    <w:p w14:paraId="7ACE6590" w14:textId="77777777" w:rsidR="00B536CC" w:rsidRDefault="00856695">
      <w:pPr>
        <w:pStyle w:val="BodyText"/>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w:t>
      </w:r>
      <w:r>
        <w:lastRenderedPageBreak/>
        <w:t xml:space="preserve">Close Study or other hybrid approach is needed (e.g., analyzing content in interactional peaks). Whether child language development is better predicted by meaningful individual differences in average circumstantial variation (e.g., Panoramic input quantity), </w:t>
      </w:r>
      <w:proofErr w:type="gramStart"/>
      <w:r>
        <w:t>ideologically-based</w:t>
      </w:r>
      <w:proofErr w:type="gramEnd"/>
      <w:r>
        <w:t xml:space="preserve"> variation (e.g., attitudes toward language pedagogy),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14:paraId="5B1B37A7" w14:textId="77777777" w:rsidR="00B536CC" w:rsidRDefault="00856695">
      <w:pPr>
        <w:pStyle w:val="BodyText"/>
      </w:pPr>
      <w:r>
        <w:t>Importantly, the data presented here come from an evolving corpus of Yélî Dnye developmental data; any reader interested in citing descriptive features of the Rossel child language environment is strongly encouraged to visit the following address for up-to-date estimates: URL_MASKED_FOR_REVIEW. The information on that linked page will include any new data, annotations, and analyses added after the publication of this study.</w:t>
      </w:r>
    </w:p>
    <w:p w14:paraId="3E32E2B3" w14:textId="77777777" w:rsidR="00B536CC" w:rsidRDefault="00856695">
      <w:pPr>
        <w:pStyle w:val="Heading1"/>
      </w:pPr>
      <w:bookmarkStart w:id="20" w:name="acknowledgements"/>
      <w:bookmarkEnd w:id="20"/>
      <w:r>
        <w:t>Acknowledgements</w:t>
      </w:r>
    </w:p>
    <w:p w14:paraId="412FCF7C" w14:textId="77777777" w:rsidR="00B536CC" w:rsidRDefault="00856695">
      <w:pPr>
        <w:pStyle w:val="FirstParagraph"/>
      </w:pPr>
      <w:r>
        <w:t xml:space="preserve"> </w:t>
      </w:r>
      <w:r w:rsidR="0028021D">
        <w:t>&lt;OMITTED FOR REVIEW&gt;</w:t>
      </w:r>
    </w:p>
    <w:p w14:paraId="62379572" w14:textId="77777777" w:rsidR="0028021D" w:rsidRDefault="0028021D">
      <w:pPr>
        <w:rPr>
          <w:rFonts w:ascii="Times New Roman" w:eastAsiaTheme="majorEastAsia" w:hAnsi="Times New Roman" w:cstheme="majorBidi"/>
          <w:b/>
          <w:bCs/>
          <w:szCs w:val="32"/>
        </w:rPr>
      </w:pPr>
      <w:bookmarkStart w:id="21" w:name="refs"/>
      <w:bookmarkEnd w:id="21"/>
      <w:r>
        <w:br w:type="page"/>
      </w:r>
    </w:p>
    <w:p w14:paraId="3BBB9541" w14:textId="65E95360" w:rsidR="00B536CC" w:rsidRDefault="00856695" w:rsidP="00856695">
      <w:pPr>
        <w:pStyle w:val="Heading1"/>
      </w:pPr>
      <w:r>
        <w:lastRenderedPageBreak/>
        <w:t>References</w:t>
      </w:r>
    </w:p>
    <w:p w14:paraId="2659BB60" w14:textId="77777777" w:rsidR="00B536CC" w:rsidRDefault="00856695">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5B7626C4" w14:textId="77777777" w:rsidR="00B536CC" w:rsidRDefault="00856695">
      <w:pPr>
        <w:pStyle w:val="BodyText"/>
      </w:pPr>
      <w:r>
        <w:t xml:space="preserve">Akhtar, N., Jipson, J., &amp; Callanan, M. A. (2001). </w:t>
      </w:r>
      <w:proofErr w:type="gramStart"/>
      <w:r>
        <w:t>Learning words through overhearing.</w:t>
      </w:r>
      <w:proofErr w:type="gramEnd"/>
      <w:r>
        <w:t xml:space="preserve"> </w:t>
      </w:r>
      <w:r>
        <w:rPr>
          <w:i/>
        </w:rPr>
        <w:t>Child Development</w:t>
      </w:r>
      <w:r>
        <w:t xml:space="preserve">, </w:t>
      </w:r>
      <w:r>
        <w:rPr>
          <w:i/>
        </w:rPr>
        <w:t>72</w:t>
      </w:r>
      <w:r>
        <w:t>(2), 416–430.</w:t>
      </w:r>
    </w:p>
    <w:p w14:paraId="5EBA25B0" w14:textId="77777777" w:rsidR="00B536CC" w:rsidRDefault="00856695">
      <w:pPr>
        <w:pStyle w:val="BodyText"/>
      </w:pPr>
      <w:r>
        <w:t xml:space="preserve">Anderson, H., &amp; Fausey, C. (2019). Modeling nonuniformities in infants’ everyday speech environments. </w:t>
      </w:r>
      <w:proofErr w:type="gramStart"/>
      <w:r>
        <w:t>presented</w:t>
      </w:r>
      <w:proofErr w:type="gramEnd"/>
      <w:r>
        <w:t xml:space="preserve"> at the biennial meeting of the society for research on child development. </w:t>
      </w:r>
      <w:proofErr w:type="gramStart"/>
      <w:r>
        <w:t>baltimore</w:t>
      </w:r>
      <w:proofErr w:type="gramEnd"/>
      <w:r>
        <w:t>, md.</w:t>
      </w:r>
    </w:p>
    <w:p w14:paraId="2644ADC7" w14:textId="77777777" w:rsidR="00B536CC" w:rsidRDefault="0085669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2">
        <w:r>
          <w:rPr>
            <w:rStyle w:val="Hyperlink"/>
          </w:rPr>
          <w:t>10.1080/016909697386628</w:t>
        </w:r>
      </w:hyperlink>
    </w:p>
    <w:p w14:paraId="33CB60CB" w14:textId="77777777" w:rsidR="00B536CC" w:rsidRDefault="00856695">
      <w:pPr>
        <w:pStyle w:val="BodyText"/>
      </w:pPr>
      <w:proofErr w:type="gramStart"/>
      <w:r>
        <w:t>Bergelson, E., Alphen, P. van, Benneti, L., Bunce, J., Casillas, M., Guez, A., … Cristia, A. (in preparation).</w:t>
      </w:r>
      <w:proofErr w:type="gramEnd"/>
      <w:r>
        <w:t xml:space="preserve"> </w:t>
      </w:r>
      <w:proofErr w:type="gramStart"/>
      <w:r>
        <w:t>Child language environments in &gt;2500 daylong recordings across 5 continents.</w:t>
      </w:r>
      <w:proofErr w:type="gramEnd"/>
    </w:p>
    <w:p w14:paraId="1C4D19C0" w14:textId="77777777" w:rsidR="00B536CC" w:rsidRDefault="0085669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3">
        <w:r>
          <w:rPr>
            <w:rStyle w:val="Hyperlink"/>
          </w:rPr>
          <w:t>10.1111/desc.12715</w:t>
        </w:r>
      </w:hyperlink>
    </w:p>
    <w:p w14:paraId="54E19199" w14:textId="77777777" w:rsidR="00B536CC" w:rsidRDefault="00856695">
      <w:pPr>
        <w:pStyle w:val="BodyText"/>
      </w:pPr>
      <w:proofErr w:type="gramStart"/>
      <w:r>
        <w:t>Bergelson, E., Casillas, M., Soderstrom, M., Seidl, A., Warlaumont, A. S., &amp; Amatuni,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4">
        <w:r>
          <w:rPr>
            <w:rStyle w:val="Hyperlink"/>
          </w:rPr>
          <w:t>10.1111/desc.12724</w:t>
        </w:r>
      </w:hyperlink>
    </w:p>
    <w:p w14:paraId="6C9B72EC" w14:textId="77777777" w:rsidR="00B536CC" w:rsidRDefault="00856695">
      <w:pPr>
        <w:pStyle w:val="BodyText"/>
      </w:pPr>
      <w:r>
        <w:lastRenderedPageBreak/>
        <w:t>Brinchmann, E. I., Braeken, J., &amp; Lyster,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5">
        <w:r>
          <w:rPr>
            <w:rStyle w:val="Hyperlink"/>
          </w:rPr>
          <w:t>10.1111/desc.12709</w:t>
        </w:r>
      </w:hyperlink>
    </w:p>
    <w:p w14:paraId="2294A77F" w14:textId="77777777" w:rsidR="00B536CC" w:rsidRDefault="00856695">
      <w:pPr>
        <w:pStyle w:val="BodyText"/>
      </w:pPr>
      <w:r>
        <w:t xml:space="preserve">Brooks, M. E., Kristensen, K., van Benthem, K. J., Magnusson, A., Berg, C. W., Nielsen, A., … Bolker, B. M. (2017). </w:t>
      </w:r>
      <w:proofErr w:type="gramStart"/>
      <w:r>
        <w:t>Modeling zero-inflated count</w:t>
      </w:r>
      <w:proofErr w:type="gramEnd"/>
      <w:r>
        <w:t xml:space="preserve"> data with glmmTMB. </w:t>
      </w:r>
      <w:proofErr w:type="gramStart"/>
      <w:r>
        <w:rPr>
          <w:i/>
        </w:rPr>
        <w:t>bioRxiv</w:t>
      </w:r>
      <w:proofErr w:type="gramEnd"/>
      <w:r>
        <w:t xml:space="preserve">. </w:t>
      </w:r>
      <w:proofErr w:type="gramStart"/>
      <w:r>
        <w:t>doi</w:t>
      </w:r>
      <w:proofErr w:type="gramEnd"/>
      <w:r>
        <w:t>:</w:t>
      </w:r>
      <w:hyperlink r:id="rId16">
        <w:r>
          <w:rPr>
            <w:rStyle w:val="Hyperlink"/>
          </w:rPr>
          <w:t>10.1101/132753</w:t>
        </w:r>
      </w:hyperlink>
    </w:p>
    <w:p w14:paraId="3BEA6C02" w14:textId="77777777" w:rsidR="00B536CC" w:rsidRDefault="00856695">
      <w:pPr>
        <w:pStyle w:val="BodyText"/>
      </w:pPr>
      <w:r>
        <w:t xml:space="preserve">Brown, P. (2011). </w:t>
      </w:r>
      <w:proofErr w:type="gramStart"/>
      <w:r>
        <w:t>The cultural organization of attention.</w:t>
      </w:r>
      <w:proofErr w:type="gramEnd"/>
      <w:r>
        <w:t xml:space="preserve"> In A. Duranti, E. Ochs, &amp; and B. B. Schieffelin (Eds.), </w:t>
      </w:r>
      <w:r>
        <w:rPr>
          <w:i/>
        </w:rPr>
        <w:t>Handbook of Language Socialization</w:t>
      </w:r>
      <w:r>
        <w:t xml:space="preserve"> (pp. 29–55). Malden, MA: Wiley-Blackwell.</w:t>
      </w:r>
    </w:p>
    <w:p w14:paraId="2B3E5D66" w14:textId="77777777" w:rsidR="00B536CC" w:rsidRDefault="00856695">
      <w:pPr>
        <w:pStyle w:val="BodyText"/>
      </w:pPr>
      <w:r>
        <w:t xml:space="preserve">Brown, P. (2014). </w:t>
      </w:r>
      <w:proofErr w:type="gramStart"/>
      <w:r>
        <w:t>The interactional context of language learning in Tzeltal.</w:t>
      </w:r>
      <w:proofErr w:type="gramEnd"/>
      <w:r>
        <w:t xml:space="preserve"> In I. Arnon, M. Casillas, C. Kurumada, &amp; B. Estigarribia (Eds.), </w:t>
      </w:r>
      <w:r>
        <w:rPr>
          <w:i/>
        </w:rPr>
        <w:t>Language in interaction: Studies in honor of Eve V. Clark</w:t>
      </w:r>
      <w:r>
        <w:t xml:space="preserve"> (pp. 51–82). Amsterdam, NL: John Benjamins.</w:t>
      </w:r>
    </w:p>
    <w:p w14:paraId="1291CF46" w14:textId="77777777" w:rsidR="00B536CC" w:rsidRDefault="00856695">
      <w:pPr>
        <w:pStyle w:val="BodyText"/>
      </w:pPr>
      <w:r>
        <w:t xml:space="preserve">Brown, P., &amp; Casillas, M. (in press). </w:t>
      </w:r>
      <w:proofErr w:type="gramStart"/>
      <w:r>
        <w:t>Childrearing through social interaction on Rossel Island, PNG.</w:t>
      </w:r>
      <w:proofErr w:type="gramEnd"/>
      <w:r>
        <w:t xml:space="preserve"> In A. J. Fentiman &amp; M. Goody (Eds.), </w:t>
      </w:r>
      <w:r>
        <w:rPr>
          <w:i/>
        </w:rPr>
        <w:t>Esther Goody revisited: Exploring the legacy of an original inter-disciplinarian</w:t>
      </w:r>
      <w:r>
        <w:t xml:space="preserve"> (pp. XX–XX). New York, NY: Berghahn.</w:t>
      </w:r>
    </w:p>
    <w:p w14:paraId="7EC97343" w14:textId="77777777" w:rsidR="00B536CC" w:rsidRDefault="00856695">
      <w:pPr>
        <w:pStyle w:val="BodyText"/>
      </w:pPr>
      <w:r>
        <w:t xml:space="preserve">Brown, P., &amp; Gaskins, S. (2014). </w:t>
      </w:r>
      <w:proofErr w:type="gramStart"/>
      <w:r>
        <w:t>Language acquisition and language socialization.</w:t>
      </w:r>
      <w:proofErr w:type="gramEnd"/>
      <w:r>
        <w:t xml:space="preserve"> In N. J. Enfield, P. Kockelman, &amp; J. Sidnell (Eds.), </w:t>
      </w:r>
      <w:r>
        <w:rPr>
          <w:i/>
        </w:rPr>
        <w:t>Handbook of Linguistic Anthropology</w:t>
      </w:r>
      <w:r>
        <w:t xml:space="preserve"> (pp. 187–226). Cambridge, UK: Cambridge University Press. </w:t>
      </w:r>
      <w:proofErr w:type="gramStart"/>
      <w:r>
        <w:t>doi</w:t>
      </w:r>
      <w:proofErr w:type="gramEnd"/>
      <w:r>
        <w:t>:</w:t>
      </w:r>
      <w:hyperlink r:id="rId17">
        <w:r>
          <w:rPr>
            <w:rStyle w:val="Hyperlink"/>
          </w:rPr>
          <w:t>10.1017/CBO9781139342872.010</w:t>
        </w:r>
      </w:hyperlink>
    </w:p>
    <w:p w14:paraId="1157D272" w14:textId="77777777" w:rsidR="00B536CC" w:rsidRDefault="00856695">
      <w:pPr>
        <w:pStyle w:val="BodyText"/>
      </w:pPr>
      <w:r>
        <w:t xml:space="preserve">Cartmill, E. A., Armstrong, B. F., Gleitman, L. R., Goldin-Meadow, S., Medina, T. N., &amp; Trueswell, J. C. (2013). Quality of early parent input predicts child vocabulary 3 years later. </w:t>
      </w:r>
      <w:r>
        <w:rPr>
          <w:i/>
        </w:rPr>
        <w:lastRenderedPageBreak/>
        <w:t>Proceedings of the National Academy of Sciences</w:t>
      </w:r>
      <w:r>
        <w:t xml:space="preserve">, </w:t>
      </w:r>
      <w:r>
        <w:rPr>
          <w:i/>
        </w:rPr>
        <w:t>110</w:t>
      </w:r>
      <w:r>
        <w:t xml:space="preserve">(28), 11278–11283. </w:t>
      </w:r>
      <w:proofErr w:type="gramStart"/>
      <w:r>
        <w:t>doi</w:t>
      </w:r>
      <w:proofErr w:type="gramEnd"/>
      <w:r>
        <w:t>:</w:t>
      </w:r>
      <w:hyperlink r:id="rId18">
        <w:r>
          <w:rPr>
            <w:rStyle w:val="Hyperlink"/>
          </w:rPr>
          <w:t>10.1073/pnas.1309518110</w:t>
        </w:r>
      </w:hyperlink>
    </w:p>
    <w:p w14:paraId="713111B0" w14:textId="77777777" w:rsidR="00B536CC" w:rsidRDefault="00856695">
      <w:pPr>
        <w:pStyle w:val="BodyText"/>
      </w:pPr>
      <w:proofErr w:type="gramStart"/>
      <w:r>
        <w:t>Casillas, M., &amp; Cristia,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19">
        <w:r>
          <w:rPr>
            <w:rStyle w:val="Hyperlink"/>
          </w:rPr>
          <w:t>10.1525/collabra.209</w:t>
        </w:r>
      </w:hyperlink>
    </w:p>
    <w:p w14:paraId="02808893" w14:textId="67AF3DF4" w:rsidR="00B536CC" w:rsidRDefault="00856695">
      <w:pPr>
        <w:pStyle w:val="BodyText"/>
      </w:pPr>
      <w:r>
        <w:t xml:space="preserve">Casillas, M., Brown, P., &amp; Levinson, S. C. (2019). </w:t>
      </w:r>
      <w:proofErr w:type="gramStart"/>
      <w:r>
        <w:t xml:space="preserve">Early language experience in a </w:t>
      </w:r>
      <w:r w:rsidR="00210DE1">
        <w:t>T</w:t>
      </w:r>
      <w:r w:rsidR="00A7062A">
        <w:t>seltal M</w:t>
      </w:r>
      <w:r>
        <w:t>ayan village.</w:t>
      </w:r>
      <w:proofErr w:type="gramEnd"/>
      <w:r>
        <w:t xml:space="preserve"> </w:t>
      </w:r>
      <w:r>
        <w:rPr>
          <w:i/>
        </w:rPr>
        <w:t>Child Development</w:t>
      </w:r>
      <w:r>
        <w:t xml:space="preserve">, </w:t>
      </w:r>
      <w:proofErr w:type="gramStart"/>
      <w:r>
        <w:rPr>
          <w:i/>
        </w:rPr>
        <w:t>OnlineOpen</w:t>
      </w:r>
      <w:r>
        <w:t>(</w:t>
      </w:r>
      <w:proofErr w:type="gramEnd"/>
      <w:r>
        <w:t>X), XX–XX.</w:t>
      </w:r>
    </w:p>
    <w:p w14:paraId="180417CB" w14:textId="77777777" w:rsidR="00B536CC" w:rsidRDefault="00856695">
      <w:pPr>
        <w:pStyle w:val="BodyText"/>
      </w:pPr>
      <w:r>
        <w:t xml:space="preserve">Casillas, M., Bunce, J., Soderstrom, M., Rosemberg, C., Migdalek, M., Alam, F., … Garrison, H. (2017). Introduction: The ACLEW DAS template [training materials]. Retrieved from </w:t>
      </w:r>
      <w:hyperlink r:id="rId20">
        <w:r>
          <w:rPr>
            <w:rStyle w:val="Hyperlink"/>
          </w:rPr>
          <w:t>https://osf.io/aknjv/</w:t>
        </w:r>
      </w:hyperlink>
    </w:p>
    <w:p w14:paraId="7011768D" w14:textId="77777777" w:rsidR="00B536CC" w:rsidRDefault="00856695">
      <w:pPr>
        <w:pStyle w:val="BodyText"/>
      </w:pPr>
      <w:proofErr w:type="gramStart"/>
      <w:r>
        <w:t>Cychosz, M., Cristia, A., Bergelson, E., Casillas, M., Baudet, G., Warlaumont, A. S., … Seidl, A. (under reviewa).</w:t>
      </w:r>
      <w:proofErr w:type="gramEnd"/>
      <w:r>
        <w:t xml:space="preserve"> </w:t>
      </w:r>
      <w:proofErr w:type="gramStart"/>
      <w:r>
        <w:t>Canonical babble development in a large-scale crosslinguistic corpus.</w:t>
      </w:r>
      <w:proofErr w:type="gramEnd"/>
      <w:r>
        <w:t xml:space="preserve"> Retrieved from </w:t>
      </w:r>
      <w:hyperlink r:id="rId21">
        <w:r>
          <w:rPr>
            <w:rStyle w:val="Hyperlink"/>
          </w:rPr>
          <w:t>https://osf.io/ca6qu/</w:t>
        </w:r>
      </w:hyperlink>
    </w:p>
    <w:p w14:paraId="68FDEBB7" w14:textId="77777777" w:rsidR="00B536CC" w:rsidRDefault="00856695">
      <w:pPr>
        <w:pStyle w:val="BodyText"/>
      </w:pPr>
      <w:proofErr w:type="gramStart"/>
      <w:r>
        <w:t>Cychosz, M., Romeo, R., Soderstrom, M., Scaff, C., Ganek, H., Cristia, A., … Weisleder, A. (acceptedb).</w:t>
      </w:r>
      <w:proofErr w:type="gramEnd"/>
      <w:r>
        <w:t xml:space="preserve"> Longform recordings of everyday life: Ethics for best practices.</w:t>
      </w:r>
    </w:p>
    <w:p w14:paraId="7048CC48" w14:textId="77777777" w:rsidR="00B536CC" w:rsidRDefault="00856695">
      <w:pPr>
        <w:pStyle w:val="BodyText"/>
      </w:pPr>
      <w:proofErr w:type="gramStart"/>
      <w:r>
        <w:t>de</w:t>
      </w:r>
      <w:proofErr w:type="gramEnd"/>
      <w:r>
        <w:t xml:space="preserve"> León, L. (2000). The emergent participant: Interactive patterns in the socialization of Tzotzil (Mayan) infants. </w:t>
      </w:r>
      <w:r>
        <w:rPr>
          <w:i/>
        </w:rPr>
        <w:t>Journal of Linguistic Anthropology</w:t>
      </w:r>
      <w:r>
        <w:t xml:space="preserve">, </w:t>
      </w:r>
      <w:r>
        <w:rPr>
          <w:i/>
        </w:rPr>
        <w:t>8</w:t>
      </w:r>
      <w:r>
        <w:t>(2), 131–161.</w:t>
      </w:r>
    </w:p>
    <w:p w14:paraId="33D1C936" w14:textId="77777777" w:rsidR="00B536CC" w:rsidRDefault="0085669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Duranti, E. Ochs, &amp; and B. B. Schieffelin (Eds.), </w:t>
      </w:r>
      <w:r>
        <w:rPr>
          <w:i/>
        </w:rPr>
        <w:t>Handbook of Language Socialization</w:t>
      </w:r>
      <w:r>
        <w:t xml:space="preserve"> (pp. 81–111). Malden, MA: Wiley-Blackwell. </w:t>
      </w:r>
      <w:proofErr w:type="gramStart"/>
      <w:r>
        <w:t>doi</w:t>
      </w:r>
      <w:proofErr w:type="gramEnd"/>
      <w:r>
        <w:t>:</w:t>
      </w:r>
      <w:hyperlink r:id="rId22">
        <w:r>
          <w:rPr>
            <w:rStyle w:val="Hyperlink"/>
          </w:rPr>
          <w:t>10.1002/9781444342901.ch4</w:t>
        </w:r>
      </w:hyperlink>
    </w:p>
    <w:p w14:paraId="1220FB8E" w14:textId="77777777" w:rsidR="00B536CC" w:rsidRDefault="00856695">
      <w:pPr>
        <w:pStyle w:val="BodyText"/>
      </w:pPr>
      <w:proofErr w:type="gramStart"/>
      <w:r>
        <w:lastRenderedPageBreak/>
        <w:t>Frank, M. C., Braginsky, M., Marchman, V. A., &amp; Yurovsky, D. (in preparation).</w:t>
      </w:r>
      <w:proofErr w:type="gramEnd"/>
      <w:r>
        <w:t xml:space="preserve"> </w:t>
      </w:r>
      <w:r>
        <w:rPr>
          <w:i/>
        </w:rPr>
        <w:t>Variability and consistency in early language learning: The Wordbank project</w:t>
      </w:r>
      <w:r>
        <w:t xml:space="preserve">. Retrieved from </w:t>
      </w:r>
      <w:hyperlink r:id="rId23">
        <w:r>
          <w:rPr>
            <w:rStyle w:val="Hyperlink"/>
          </w:rPr>
          <w:t>https://langcog.github.io/wordbank-book/</w:t>
        </w:r>
      </w:hyperlink>
    </w:p>
    <w:p w14:paraId="165F2F62" w14:textId="77777777" w:rsidR="00B536CC" w:rsidRDefault="00856695">
      <w:pPr>
        <w:pStyle w:val="BodyText"/>
      </w:pPr>
      <w:r>
        <w:t xml:space="preserve">Frye, H. (2019). </w:t>
      </w:r>
      <w:r>
        <w:rPr>
          <w:i/>
        </w:rPr>
        <w:t>Child directed speech in Qaqet</w:t>
      </w:r>
      <w:r>
        <w:t xml:space="preserve"> (PhD thesis). </w:t>
      </w:r>
      <w:proofErr w:type="gramStart"/>
      <w:r>
        <w:t>University of Cologne.</w:t>
      </w:r>
      <w:proofErr w:type="gramEnd"/>
    </w:p>
    <w:p w14:paraId="5CA9904D" w14:textId="77777777" w:rsidR="00B536CC" w:rsidRDefault="00856695">
      <w:pPr>
        <w:pStyle w:val="BodyText"/>
      </w:pPr>
      <w:r>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4">
        <w:r>
          <w:rPr>
            <w:rStyle w:val="Hyperlink"/>
          </w:rPr>
          <w:t>10.1177/106939710003400405</w:t>
        </w:r>
      </w:hyperlink>
    </w:p>
    <w:p w14:paraId="7011C1AC" w14:textId="77777777" w:rsidR="00B536CC" w:rsidRDefault="0085669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743FCC4E" w14:textId="77777777" w:rsidR="00B536CC" w:rsidRDefault="00856695">
      <w:pPr>
        <w:pStyle w:val="BodyText"/>
      </w:pPr>
      <w:r>
        <w:t xml:space="preserve">Hart, B., &amp; Risley, T. R. (1995). </w:t>
      </w:r>
      <w:proofErr w:type="gramStart"/>
      <w:r>
        <w:rPr>
          <w:i/>
        </w:rPr>
        <w:t>Meaningful Differences in the Everyday Experience of Young American Children</w:t>
      </w:r>
      <w:r>
        <w:t>.</w:t>
      </w:r>
      <w:proofErr w:type="gramEnd"/>
      <w:r>
        <w:t xml:space="preserve"> Paul H. Brookes Publishing.</w:t>
      </w:r>
    </w:p>
    <w:p w14:paraId="4E8DD109" w14:textId="77777777" w:rsidR="00B536CC" w:rsidRDefault="0085669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5">
        <w:r>
          <w:rPr>
            <w:rStyle w:val="Hyperlink"/>
          </w:rPr>
          <w:t>10.3389/fpsyg.2015.01492</w:t>
        </w:r>
      </w:hyperlink>
    </w:p>
    <w:p w14:paraId="3199141F" w14:textId="77777777" w:rsidR="00B536CC" w:rsidRDefault="00856695">
      <w:pPr>
        <w:pStyle w:val="BodyText"/>
      </w:pPr>
      <w:r>
        <w:t xml:space="preserve">Hurtado, N., Marchman, V. A., &amp; Fernald, A. (2008). Does input influence uptake? Links between maternal talk, processing speed and vocabulary size in spanish-learning children. </w:t>
      </w:r>
      <w:proofErr w:type="gramStart"/>
      <w:r>
        <w:rPr>
          <w:i/>
        </w:rPr>
        <w:t>Developmental Science</w:t>
      </w:r>
      <w:r>
        <w:t xml:space="preserve">, </w:t>
      </w:r>
      <w:r>
        <w:rPr>
          <w:i/>
        </w:rPr>
        <w:t>11</w:t>
      </w:r>
      <w:r>
        <w:t>(6), F31–F39.</w:t>
      </w:r>
      <w:proofErr w:type="gramEnd"/>
    </w:p>
    <w:p w14:paraId="58A5B889" w14:textId="77777777" w:rsidR="00B536CC" w:rsidRDefault="00856695">
      <w:pPr>
        <w:pStyle w:val="BodyText"/>
      </w:pPr>
      <w:proofErr w:type="gramStart"/>
      <w:r>
        <w:t>Huttenlocher, J., Waterfall, H., Vasilyeva, M., Vevea,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26">
        <w:r>
          <w:rPr>
            <w:rStyle w:val="Hyperlink"/>
          </w:rPr>
          <w:t>10.1016/j.cogpsych.2010.08.002</w:t>
        </w:r>
      </w:hyperlink>
    </w:p>
    <w:p w14:paraId="68A5405A" w14:textId="77777777" w:rsidR="00B536CC" w:rsidRDefault="00856695">
      <w:pPr>
        <w:pStyle w:val="BodyText"/>
      </w:pPr>
      <w:r>
        <w:lastRenderedPageBreak/>
        <w:t xml:space="preserve">Kuhl,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27">
        <w:r>
          <w:rPr>
            <w:rStyle w:val="Hyperlink"/>
          </w:rPr>
          <w:t>10.1038/nrn1533</w:t>
        </w:r>
      </w:hyperlink>
    </w:p>
    <w:p w14:paraId="26A29BB5" w14:textId="77777777" w:rsidR="00B536CC" w:rsidRDefault="00856695">
      <w:pPr>
        <w:pStyle w:val="BodyText"/>
      </w:pPr>
      <w:r>
        <w:t xml:space="preserve">Labov, W. (1972). </w:t>
      </w:r>
      <w:r>
        <w:rPr>
          <w:i/>
        </w:rPr>
        <w:t>Sociolinguistic patterns</w:t>
      </w:r>
      <w:r>
        <w:t>. Philadelphia: University of Pennsylvania.</w:t>
      </w:r>
    </w:p>
    <w:p w14:paraId="473C2E85" w14:textId="77777777" w:rsidR="00B536CC" w:rsidRDefault="00856695">
      <w:pPr>
        <w:pStyle w:val="BodyText"/>
      </w:pPr>
      <w:r>
        <w:t>Lee, C</w:t>
      </w:r>
      <w:proofErr w:type="gramStart"/>
      <w:r>
        <w:t>.-</w:t>
      </w:r>
      <w:proofErr w:type="gramEnd"/>
      <w:r>
        <w:t xml:space="preserve">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6AD16DE5" w14:textId="77777777" w:rsidR="00B536CC" w:rsidRDefault="00856695">
      <w:pPr>
        <w:pStyle w:val="BodyText"/>
      </w:pPr>
      <w:r>
        <w:t xml:space="preserve">Lieven,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28">
        <w:r>
          <w:rPr>
            <w:rStyle w:val="Hyperlink"/>
          </w:rPr>
          <w:t>10.1017/S0305000996002930</w:t>
        </w:r>
      </w:hyperlink>
    </w:p>
    <w:p w14:paraId="7F71D243" w14:textId="77777777" w:rsidR="00B536CC" w:rsidRDefault="00856695">
      <w:pPr>
        <w:pStyle w:val="BodyText"/>
      </w:pPr>
      <w:proofErr w:type="gramStart"/>
      <w:r>
        <w:t>Marchman, V. A., Martínez-Sussmann,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29">
        <w:r>
          <w:rPr>
            <w:rStyle w:val="Hyperlink"/>
          </w:rPr>
          <w:t>10.1111/j.1467-7687.2004.00340.x</w:t>
        </w:r>
      </w:hyperlink>
    </w:p>
    <w:p w14:paraId="4C9C6015" w14:textId="77777777" w:rsidR="00B536CC" w:rsidRDefault="00856695">
      <w:pPr>
        <w:pStyle w:val="BodyText"/>
      </w:pPr>
      <w:proofErr w:type="gramStart"/>
      <w:r>
        <w:t>Moran, S., Schikowski, R., Pajović, D., Hysi, C., &amp; Stoll, S. (2016).</w:t>
      </w:r>
      <w:proofErr w:type="gramEnd"/>
      <w:r>
        <w:t xml:space="preserve"> The acqdiv database: </w:t>
      </w:r>
      <w:proofErr w:type="gramStart"/>
      <w:r>
        <w:t>Min(</w:t>
      </w:r>
      <w:proofErr w:type="gramEnd"/>
      <w:r>
        <w:t xml:space="preserve">d)ing the ambient language. </w:t>
      </w:r>
      <w:proofErr w:type="gramStart"/>
      <w:r>
        <w:t xml:space="preserve">In </w:t>
      </w:r>
      <w:r>
        <w:rPr>
          <w:i/>
        </w:rPr>
        <w:t>Proceedings of the tenth international conference on language resources and evaluation (lrec 2016)</w:t>
      </w:r>
      <w:r>
        <w:t xml:space="preserve"> (pp. 4423–4429).</w:t>
      </w:r>
      <w:proofErr w:type="gramEnd"/>
      <w:r>
        <w:t xml:space="preserve"> Portorož, Slovenia.</w:t>
      </w:r>
    </w:p>
    <w:p w14:paraId="261ED654" w14:textId="77777777" w:rsidR="00B536CC" w:rsidRDefault="00856695">
      <w:pPr>
        <w:pStyle w:val="BodyText"/>
      </w:pPr>
      <w:r>
        <w:t xml:space="preserve">Ochs, E., &amp; Schieffelin, B. (1984). Language acquisition and socialization: Three developmental stories and their implications. In R. A. Schweder &amp; R. A. LeVine (Eds.), </w:t>
      </w:r>
      <w:r>
        <w:rPr>
          <w:i/>
        </w:rPr>
        <w:t>Culture theory: Essays on mind, self, and emotion</w:t>
      </w:r>
      <w:r>
        <w:t xml:space="preserve"> (pp. 276–322). </w:t>
      </w:r>
      <w:proofErr w:type="gramStart"/>
      <w:r>
        <w:t>Cambridge University Press.</w:t>
      </w:r>
      <w:proofErr w:type="gramEnd"/>
    </w:p>
    <w:p w14:paraId="0811200C" w14:textId="77777777" w:rsidR="00B536CC" w:rsidRDefault="00856695">
      <w:pPr>
        <w:pStyle w:val="BodyText"/>
      </w:pPr>
      <w:r>
        <w:t xml:space="preserve">Oller, D. K., Eilers, R. E., Basinger, D., Steffens, M. L., &amp; Urbano,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1407236F" w14:textId="77777777" w:rsidR="00B536CC" w:rsidRDefault="00856695">
      <w:pPr>
        <w:pStyle w:val="BodyText"/>
      </w:pPr>
      <w:proofErr w:type="gramStart"/>
      <w:r>
        <w:lastRenderedPageBreak/>
        <w:t>Pine, J. M., &amp; Lieven, E. V. M. (1993).</w:t>
      </w:r>
      <w:proofErr w:type="gramEnd"/>
      <w:r>
        <w:t xml:space="preserve"> Reanalysing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0">
        <w:r>
          <w:rPr>
            <w:rStyle w:val="Hyperlink"/>
          </w:rPr>
          <w:t>10.1017/S0305000900008473</w:t>
        </w:r>
      </w:hyperlink>
    </w:p>
    <w:p w14:paraId="70E72034" w14:textId="77777777" w:rsidR="00B536CC" w:rsidRDefault="00856695">
      <w:pPr>
        <w:pStyle w:val="BodyText"/>
      </w:pPr>
      <w:r>
        <w:t xml:space="preserve">Pye,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1">
        <w:r>
          <w:rPr>
            <w:rStyle w:val="Hyperlink"/>
          </w:rPr>
          <w:t>10.1017/S0305000900000313</w:t>
        </w:r>
      </w:hyperlink>
    </w:p>
    <w:p w14:paraId="6DCB64A6" w14:textId="77777777" w:rsidR="00B536CC" w:rsidRDefault="00856695">
      <w:pPr>
        <w:pStyle w:val="BodyText"/>
      </w:pPr>
      <w:r>
        <w:t xml:space="preserve">Pye, C. (2017). </w:t>
      </w:r>
      <w:proofErr w:type="gramStart"/>
      <w:r>
        <w:rPr>
          <w:i/>
        </w:rPr>
        <w:t>The Comparative Method of Language Acquisition Research</w:t>
      </w:r>
      <w:r>
        <w:t>.</w:t>
      </w:r>
      <w:proofErr w:type="gramEnd"/>
      <w:r>
        <w:t xml:space="preserve"> </w:t>
      </w:r>
      <w:proofErr w:type="gramStart"/>
      <w:r>
        <w:t>University of Chicago Press.</w:t>
      </w:r>
      <w:proofErr w:type="gramEnd"/>
    </w:p>
    <w:p w14:paraId="2EE11497" w14:textId="77777777" w:rsidR="00B536CC" w:rsidRDefault="0085669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2">
        <w:r>
          <w:rPr>
            <w:rStyle w:val="Hyperlink"/>
          </w:rPr>
          <w:t>https://www.R-project.org/</w:t>
        </w:r>
      </w:hyperlink>
    </w:p>
    <w:p w14:paraId="0BDFA812" w14:textId="77777777" w:rsidR="00B536CC" w:rsidRDefault="00856695">
      <w:pPr>
        <w:pStyle w:val="BodyText"/>
      </w:pPr>
      <w:proofErr w:type="gramStart"/>
      <w:r>
        <w:t>Rogoff, B., Paradise, R., Arauz, R. M., Correa-Chávez, M., &amp; Angelillo,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3">
        <w:r>
          <w:rPr>
            <w:rStyle w:val="Hyperlink"/>
          </w:rPr>
          <w:t>10.1146/annurev.psych.54.101601.145118</w:t>
        </w:r>
      </w:hyperlink>
    </w:p>
    <w:p w14:paraId="1E3F6B65" w14:textId="77777777" w:rsidR="00B536CC" w:rsidRDefault="00856695">
      <w:pPr>
        <w:pStyle w:val="BodyText"/>
      </w:pPr>
      <w:proofErr w:type="gramStart"/>
      <w:r>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4">
        <w:r>
          <w:rPr>
            <w:rStyle w:val="Hyperlink"/>
          </w:rPr>
          <w:t>10.1017/S0305000907008343</w:t>
        </w:r>
      </w:hyperlink>
    </w:p>
    <w:p w14:paraId="0207C5A8" w14:textId="77777777" w:rsidR="00B536CC" w:rsidRDefault="00856695">
      <w:pPr>
        <w:pStyle w:val="BodyText"/>
      </w:pPr>
      <w:r>
        <w:t xml:space="preserve">Rumsey, A., San Roque, L., &amp; Schieffelin, B. B. (2013). </w:t>
      </w:r>
      <w:proofErr w:type="gramStart"/>
      <w:r>
        <w:t>The acquisition of ergative marking in Kaluli, Ku Waru and Duna (Trans New Guinea).</w:t>
      </w:r>
      <w:proofErr w:type="gramEnd"/>
      <w:r>
        <w:t xml:space="preserve"> In E. L. Bavin &amp; S. Stoll (Eds.), </w:t>
      </w:r>
      <w:r>
        <w:rPr>
          <w:i/>
        </w:rPr>
        <w:t>Sabine</w:t>
      </w:r>
      <w:r>
        <w:t xml:space="preserve"> (pp. 139–188). Amsterdam; New York: John Benjamins Publishing Company.</w:t>
      </w:r>
    </w:p>
    <w:p w14:paraId="7F3667D6" w14:textId="77777777" w:rsidR="00B536CC" w:rsidRDefault="00856695">
      <w:pPr>
        <w:pStyle w:val="BodyText"/>
      </w:pPr>
      <w:proofErr w:type="gramStart"/>
      <w:r>
        <w:t>Scaff, C., Stieglitz, J., Casillas, M., &amp; Cristia, A. (in preparation).</w:t>
      </w:r>
      <w:proofErr w:type="gramEnd"/>
      <w:r>
        <w:t xml:space="preserve"> Language input in a hunter-forager population: Estimations from daylong recordings.</w:t>
      </w:r>
    </w:p>
    <w:p w14:paraId="653A8A95" w14:textId="77777777" w:rsidR="00B536CC" w:rsidRDefault="00856695">
      <w:pPr>
        <w:pStyle w:val="BodyText"/>
      </w:pPr>
      <w:r>
        <w:lastRenderedPageBreak/>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35">
        <w:r>
          <w:rPr>
            <w:rStyle w:val="Hyperlink"/>
          </w:rPr>
          <w:t>10.1037/dev0000125</w:t>
        </w:r>
      </w:hyperlink>
    </w:p>
    <w:p w14:paraId="11E3610E" w14:textId="77777777" w:rsidR="00B536CC" w:rsidRDefault="00856695">
      <w:pPr>
        <w:pStyle w:val="BodyText"/>
      </w:pPr>
      <w:r>
        <w:t xml:space="preserve">Shneidman, L. A. (2010). </w:t>
      </w:r>
      <w:r>
        <w:rPr>
          <w:i/>
        </w:rPr>
        <w:t>Language Input and Acquisition in a Mayan Village</w:t>
      </w:r>
      <w:r>
        <w:t xml:space="preserve"> (PhD thesis). </w:t>
      </w:r>
      <w:proofErr w:type="gramStart"/>
      <w:r>
        <w:t>The University of Chicago.</w:t>
      </w:r>
      <w:proofErr w:type="gramEnd"/>
    </w:p>
    <w:p w14:paraId="5B0F1147" w14:textId="77777777" w:rsidR="00B536CC" w:rsidRDefault="0085669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36">
        <w:r>
          <w:rPr>
            <w:rStyle w:val="Hyperlink"/>
          </w:rPr>
          <w:t>10.1111/j.1467-7687.2012.01168.x</w:t>
        </w:r>
      </w:hyperlink>
    </w:p>
    <w:p w14:paraId="6C16BDA9" w14:textId="77777777" w:rsidR="00B536CC" w:rsidRDefault="00856695">
      <w:pPr>
        <w:pStyle w:val="BodyText"/>
      </w:pPr>
      <w:r>
        <w:t xml:space="preserve">Slobin, D. I. (1970). </w:t>
      </w:r>
      <w:proofErr w:type="gramStart"/>
      <w:r>
        <w:t>Universals of grammatical development in children.</w:t>
      </w:r>
      <w:proofErr w:type="gramEnd"/>
      <w:r>
        <w:t xml:space="preserve"> </w:t>
      </w:r>
      <w:proofErr w:type="gramStart"/>
      <w:r>
        <w:t xml:space="preserve">In G. B. Flores d’Arcais &amp; W. J. M. Levelt (Eds.), </w:t>
      </w:r>
      <w:r>
        <w:rPr>
          <w:i/>
        </w:rPr>
        <w:t>Advances in Psycholinguistics</w:t>
      </w:r>
      <w:r>
        <w:t xml:space="preserve"> (pp. 174–186).</w:t>
      </w:r>
      <w:proofErr w:type="gramEnd"/>
      <w:r>
        <w:t xml:space="preserve"> Amsterdam, NL: North Holland Publishing.</w:t>
      </w:r>
    </w:p>
    <w:p w14:paraId="3F76F9AD" w14:textId="77777777" w:rsidR="00B536CC" w:rsidRDefault="00856695">
      <w:pPr>
        <w:pStyle w:val="BodyText"/>
      </w:pPr>
      <w:proofErr w:type="gramStart"/>
      <w:r>
        <w:t>Smithson, M., &amp; Merkle,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37">
        <w:r>
          <w:rPr>
            <w:rStyle w:val="Hyperlink"/>
          </w:rPr>
          <w:t>10.1201/b15694</w:t>
        </w:r>
      </w:hyperlink>
    </w:p>
    <w:p w14:paraId="5255304C" w14:textId="77777777" w:rsidR="00B536CC" w:rsidRDefault="00856695">
      <w:pPr>
        <w:pStyle w:val="BodyText"/>
      </w:pPr>
      <w:proofErr w:type="gramStart"/>
      <w:r>
        <w:t>Tamis-LeMonda, C. S., Kuchirko, Y., Luo, R., Escobar, K., &amp; Bornstein, M. H. (2017).</w:t>
      </w:r>
      <w:proofErr w:type="gramEnd"/>
      <w:r>
        <w:t xml:space="preserve"> Power in methods: Language to infants in structured and naturalistic contexts. </w:t>
      </w:r>
      <w:r>
        <w:rPr>
          <w:i/>
        </w:rPr>
        <w:t>Developmental Science</w:t>
      </w:r>
      <w:r>
        <w:t xml:space="preserve">, </w:t>
      </w:r>
      <w:r>
        <w:rPr>
          <w:i/>
        </w:rPr>
        <w:t>20</w:t>
      </w:r>
      <w:r>
        <w:t xml:space="preserve">(6), e12456. </w:t>
      </w:r>
      <w:proofErr w:type="gramStart"/>
      <w:r>
        <w:t>doi</w:t>
      </w:r>
      <w:proofErr w:type="gramEnd"/>
      <w:r>
        <w:t>:</w:t>
      </w:r>
      <w:hyperlink r:id="rId38">
        <w:r>
          <w:rPr>
            <w:rStyle w:val="Hyperlink"/>
          </w:rPr>
          <w:t>10.1111/desc.12456</w:t>
        </w:r>
      </w:hyperlink>
    </w:p>
    <w:p w14:paraId="292AB445" w14:textId="77777777" w:rsidR="00B536CC" w:rsidRDefault="00856695">
      <w:pPr>
        <w:pStyle w:val="BodyText"/>
      </w:pPr>
      <w:proofErr w:type="gramStart"/>
      <w:r>
        <w:t>Tomasello,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6527AAE" w14:textId="77777777" w:rsidR="00B536CC" w:rsidRDefault="00856695">
      <w:pPr>
        <w:pStyle w:val="BodyText"/>
      </w:pPr>
      <w:r>
        <w:lastRenderedPageBreak/>
        <w:t xml:space="preserve">Warlaumont, A. S., Richards, J. A., Gilkerson, J., &amp; Oller,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39">
        <w:r>
          <w:rPr>
            <w:rStyle w:val="Hyperlink"/>
          </w:rPr>
          <w:t>10.1177/0956797614531023</w:t>
        </w:r>
      </w:hyperlink>
    </w:p>
    <w:p w14:paraId="05394739" w14:textId="77777777" w:rsidR="00B536CC" w:rsidRDefault="0085669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0">
        <w:r>
          <w:rPr>
            <w:rStyle w:val="Hyperlink"/>
          </w:rPr>
          <w:t>10.1177/0956797613488145</w:t>
        </w:r>
      </w:hyperlink>
    </w:p>
    <w:p w14:paraId="016DF94D" w14:textId="77777777" w:rsidR="00B536CC" w:rsidRDefault="00856695">
      <w:pPr>
        <w:pStyle w:val="BodyText"/>
      </w:pPr>
      <w:r>
        <w:t xml:space="preserve">Wickham, H. (2016). </w:t>
      </w:r>
      <w:r>
        <w:rPr>
          <w:i/>
        </w:rPr>
        <w:t>Ggplot2: Elegant graphics for data analysis</w:t>
      </w:r>
      <w:r>
        <w:t xml:space="preserve">. </w:t>
      </w:r>
      <w:proofErr w:type="gramStart"/>
      <w:r>
        <w:t>Springer-Verlag New York.</w:t>
      </w:r>
      <w:proofErr w:type="gramEnd"/>
      <w:r>
        <w:t xml:space="preserve"> Retrieved from </w:t>
      </w:r>
      <w:hyperlink r:id="rId41">
        <w:r>
          <w:rPr>
            <w:rStyle w:val="Hyperlink"/>
          </w:rPr>
          <w:t>https://ggplot2.tidyverse.org</w:t>
        </w:r>
      </w:hyperlink>
    </w:p>
    <w:p w14:paraId="7301BD29" w14:textId="77777777" w:rsidR="00B536CC" w:rsidRDefault="00856695">
      <w:pPr>
        <w:pStyle w:val="BodyText"/>
      </w:pPr>
      <w:r>
        <w:t xml:space="preserve">Wittenburg, P., Brugman, H., Russel, A., Klassmann, A., &amp; Sloetjes,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p w14:paraId="24C2C4F5" w14:textId="77777777" w:rsidR="00B536CC" w:rsidRDefault="00856695">
      <w:pPr>
        <w:pStyle w:val="BodyText"/>
      </w:pPr>
      <w:r>
        <w:t xml:space="preserve">Xu, D., Yapanel, U., &amp; Gray, S. (2009). LENA tr-05: Reliability of the </w:t>
      </w:r>
      <w:proofErr w:type="gramStart"/>
      <w:r>
        <w:t>lena</w:t>
      </w:r>
      <w:proofErr w:type="gramEnd"/>
      <w:r>
        <w:t xml:space="preserve"> language environment analysis system in young children’s natural language home environment. Boulder, CO: LENA Foundation.</w:t>
      </w:r>
    </w:p>
    <w:p w14:paraId="5F0AC225" w14:textId="77777777" w:rsidR="00B536CC" w:rsidRDefault="00B536CC">
      <w:pPr>
        <w:pStyle w:val="BodyText"/>
      </w:pPr>
    </w:p>
    <w:sectPr w:rsidR="00B536CC" w:rsidSect="00BD3B26">
      <w:headerReference w:type="default" r:id="rId42"/>
      <w:footerReference w:type="even" r:id="rId43"/>
      <w:footerReference w:type="default" r:id="rId44"/>
      <w:pgSz w:w="12240" w:h="15840"/>
      <w:pgMar w:top="1418" w:right="1418" w:bottom="1418" w:left="1418" w:header="72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99BB20" w14:textId="77777777" w:rsidR="00EE4036" w:rsidRDefault="00856695">
      <w:pPr>
        <w:spacing w:after="0"/>
      </w:pPr>
      <w:r>
        <w:separator/>
      </w:r>
    </w:p>
  </w:endnote>
  <w:endnote w:type="continuationSeparator" w:id="0">
    <w:p w14:paraId="3C3E711C" w14:textId="77777777" w:rsidR="00EE4036" w:rsidRDefault="00856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1C7C8" w14:textId="77777777" w:rsidR="00BD3B26" w:rsidRDefault="00BD3B26" w:rsidP="009E6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198CC" w14:textId="77777777" w:rsidR="00BD3B26" w:rsidRDefault="00BD3B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8CE78" w14:textId="77777777" w:rsidR="00BD3B26" w:rsidRDefault="00BD3B26" w:rsidP="009E6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C89F35A" w14:textId="7169F1A9" w:rsidR="00BD3B26" w:rsidRDefault="00BD3B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41F6F" w14:textId="77777777" w:rsidR="00B536CC" w:rsidRDefault="00856695">
      <w:r>
        <w:separator/>
      </w:r>
    </w:p>
  </w:footnote>
  <w:footnote w:type="continuationSeparator" w:id="0">
    <w:p w14:paraId="6A8E6F34" w14:textId="77777777" w:rsidR="00B536CC" w:rsidRDefault="00856695">
      <w:r>
        <w:continuationSeparator/>
      </w:r>
    </w:p>
  </w:footnote>
  <w:footnote w:id="1">
    <w:p w14:paraId="2A2D0324" w14:textId="77777777" w:rsidR="00B536CC" w:rsidRDefault="00856695">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Misima or on mainland PNG.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4E48A" w14:textId="61765785" w:rsidR="00BD3B26" w:rsidRDefault="00BD3B26">
    <w:pPr>
      <w:pStyle w:val="Header"/>
    </w:pPr>
    <w:r w:rsidRPr="00BD3B26">
      <w:t>Language experience on Rossel Island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9626C"/>
    <w:multiLevelType w:val="multilevel"/>
    <w:tmpl w:val="6C68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0DE1"/>
    <w:rsid w:val="0028021D"/>
    <w:rsid w:val="004E29B3"/>
    <w:rsid w:val="00590D07"/>
    <w:rsid w:val="00784D58"/>
    <w:rsid w:val="00856695"/>
    <w:rsid w:val="008D6863"/>
    <w:rsid w:val="009D37E1"/>
    <w:rsid w:val="00A7062A"/>
    <w:rsid w:val="00B536CC"/>
    <w:rsid w:val="00B86B75"/>
    <w:rsid w:val="00BC48D5"/>
    <w:rsid w:val="00BD3B26"/>
    <w:rsid w:val="00C36279"/>
    <w:rsid w:val="00E315A3"/>
    <w:rsid w:val="00EE4036"/>
    <w:rsid w:val="00F724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8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Footer">
    <w:name w:val="footer"/>
    <w:basedOn w:val="Normal"/>
    <w:link w:val="FooterChar"/>
    <w:rsid w:val="00BD3B26"/>
    <w:pPr>
      <w:tabs>
        <w:tab w:val="center" w:pos="4320"/>
        <w:tab w:val="right" w:pos="8640"/>
      </w:tabs>
      <w:spacing w:after="0"/>
    </w:pPr>
  </w:style>
  <w:style w:type="character" w:customStyle="1" w:styleId="FooterChar">
    <w:name w:val="Footer Char"/>
    <w:basedOn w:val="DefaultParagraphFont"/>
    <w:link w:val="Footer"/>
    <w:rsid w:val="00BD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osf.io/aknjv/" TargetMode="External"/><Relationship Id="rId21" Type="http://schemas.openxmlformats.org/officeDocument/2006/relationships/hyperlink" Target="https://osf.io/ca6qu/"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3389/fpsyg.2015.01492" TargetMode="External"/><Relationship Id="rId26" Type="http://schemas.openxmlformats.org/officeDocument/2006/relationships/hyperlink" Target="https://doi.org/10.1016/j.cogpsych.2010.08.002" TargetMode="External"/><Relationship Id="rId27" Type="http://schemas.openxmlformats.org/officeDocument/2006/relationships/hyperlink" Target="https://doi.org/10.1038/nrn1533" TargetMode="External"/><Relationship Id="rId28" Type="http://schemas.openxmlformats.org/officeDocument/2006/relationships/hyperlink" Target="https://doi.org/10.1017/S0305000996002930" TargetMode="External"/><Relationship Id="rId29" Type="http://schemas.openxmlformats.org/officeDocument/2006/relationships/hyperlink" Target="https://doi.org/10.1111/j.1467-7687.2004.00340.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7/S0305000900008473" TargetMode="External"/><Relationship Id="rId31" Type="http://schemas.openxmlformats.org/officeDocument/2006/relationships/hyperlink" Target="https://doi.org/10.1017/S0305000900000313" TargetMode="External"/><Relationship Id="rId32" Type="http://schemas.openxmlformats.org/officeDocument/2006/relationships/hyperlink" Target="https://www.R-project.or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46/annurev.psych.54.101601.145118" TargetMode="External"/><Relationship Id="rId34" Type="http://schemas.openxmlformats.org/officeDocument/2006/relationships/hyperlink" Target="https://doi.org/10.1017/S0305000907008343" TargetMode="External"/><Relationship Id="rId35" Type="http://schemas.openxmlformats.org/officeDocument/2006/relationships/hyperlink" Target="https://doi.org/10.1037/dev0000125" TargetMode="External"/><Relationship Id="rId36" Type="http://schemas.openxmlformats.org/officeDocument/2006/relationships/hyperlink" Target="https://doi.org/10.1111/j.1467-7687.2012.01168.x"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37" Type="http://schemas.openxmlformats.org/officeDocument/2006/relationships/hyperlink" Target="https://doi.org/10.1201/b15694" TargetMode="External"/><Relationship Id="rId38" Type="http://schemas.openxmlformats.org/officeDocument/2006/relationships/hyperlink" Target="https://doi.org/10.1111/desc.12456" TargetMode="External"/><Relationship Id="rId39" Type="http://schemas.openxmlformats.org/officeDocument/2006/relationships/hyperlink" Target="https://doi.org/10.1177/0956797614531023" TargetMode="External"/><Relationship Id="rId40" Type="http://schemas.openxmlformats.org/officeDocument/2006/relationships/hyperlink" Target="https://doi.org/10.1177/0956797613488145" TargetMode="External"/><Relationship Id="rId41" Type="http://schemas.openxmlformats.org/officeDocument/2006/relationships/hyperlink" Target="https://ggplot2.tidyverse.org"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44</Pages>
  <Words>11966</Words>
  <Characters>66654</Characters>
  <Application>Microsoft Macintosh Word</Application>
  <DocSecurity>0</DocSecurity>
  <Lines>1709</Lines>
  <Paragraphs>1965</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Marisa Casillas</dc:creator>
  <cp:lastModifiedBy>Marisa Casillas</cp:lastModifiedBy>
  <cp:revision>8</cp:revision>
  <dcterms:created xsi:type="dcterms:W3CDTF">2020-02-12T13:49:00Z</dcterms:created>
  <dcterms:modified xsi:type="dcterms:W3CDTF">2020-02-12T14:08:00Z</dcterms:modified>
</cp:coreProperties>
</file>