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tbl>
      <w:tblPr>
        <w:tblW w:w="5000" w:type="pct"/>
        <w:tblLook w:val="04A0" w:firstRow="1" w:lastRow="0" w:firstColumn="1" w:lastColumn="0" w:noHBand="0" w:noVBand="1"/>
      </w:tblPr>
      <w:tblGrid>
        <w:gridCol w:w="9620"/>
      </w:tblGrid>
      <w:tr w:rsidR="000D24CB" w14:paraId="044305D3" w14:textId="77777777" w:rsidTr="00B009D2">
        <w:tc>
          <w:tcPr>
            <w:tcW w:w="0" w:type="auto"/>
          </w:tcPr>
          <w:p w14:paraId="47E701F6" w14:textId="77777777" w:rsidR="000D24CB" w:rsidRDefault="000D24CB" w:rsidP="00B009D2">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0D24CB" w14:paraId="1C26207B" w14:textId="77777777" w:rsidTr="00B009D2">
        <w:tc>
          <w:tcPr>
            <w:tcW w:w="0" w:type="auto"/>
          </w:tcPr>
          <w:p w14:paraId="1A431FC2" w14:textId="77777777" w:rsidR="000D24CB" w:rsidRDefault="000D24CB" w:rsidP="00B009D2">
            <w:pPr>
              <w:pStyle w:val="Compact"/>
              <w:jc w:val="center"/>
            </w:pPr>
            <w:r>
              <w:rPr>
                <w:vertAlign w:val="superscript"/>
              </w:rPr>
              <w:t>1</w:t>
            </w:r>
            <w:r>
              <w:t xml:space="preserve"> Max Planck Institute for Psycholinguistics</w:t>
            </w:r>
          </w:p>
        </w:tc>
      </w:tr>
      <w:tr w:rsidR="000D24CB" w14:paraId="38B79A1F" w14:textId="77777777" w:rsidTr="00B009D2">
        <w:tc>
          <w:tcPr>
            <w:tcW w:w="0" w:type="auto"/>
          </w:tcPr>
          <w:p w14:paraId="7DB8E1B3" w14:textId="77777777" w:rsidR="000D24CB" w:rsidRDefault="000D24CB" w:rsidP="00B009D2">
            <w:pPr>
              <w:pStyle w:val="Compact"/>
              <w:jc w:val="center"/>
            </w:pPr>
            <w:r>
              <w:t>                                                                                                                                                    </w:t>
            </w:r>
          </w:p>
        </w:tc>
      </w:tr>
    </w:tbl>
    <w:p w14:paraId="76A0681B" w14:textId="77777777" w:rsidR="000D24CB" w:rsidRDefault="000D24CB" w:rsidP="000D24CB">
      <w:pPr>
        <w:pStyle w:val="BodyText"/>
      </w:pPr>
      <w:r>
        <w:t> </w:t>
      </w:r>
    </w:p>
    <w:p w14:paraId="02C6D3A4" w14:textId="77777777" w:rsidR="000D24CB" w:rsidRDefault="000D24CB" w:rsidP="000D24CB">
      <w:pPr>
        <w:pStyle w:val="BodyText"/>
      </w:pPr>
      <w:r>
        <w:t> </w:t>
      </w:r>
    </w:p>
    <w:p w14:paraId="20B1E98F" w14:textId="77777777" w:rsidR="000D24CB" w:rsidRDefault="000D24CB" w:rsidP="000D24CB">
      <w:pPr>
        <w:pStyle w:val="BodyText"/>
      </w:pPr>
      <w:r>
        <w:t> </w:t>
      </w:r>
    </w:p>
    <w:p w14:paraId="6459E885" w14:textId="77777777" w:rsidR="000D24CB" w:rsidRDefault="000D24CB" w:rsidP="000D24CB">
      <w:pPr>
        <w:pStyle w:val="BodyText"/>
      </w:pPr>
      <w:r>
        <w:t> </w:t>
      </w:r>
    </w:p>
    <w:p w14:paraId="683A116D" w14:textId="77777777" w:rsidR="000D24CB" w:rsidRDefault="000D24CB" w:rsidP="000D24CB">
      <w:pPr>
        <w:pStyle w:val="BodyText"/>
      </w:pPr>
      <w:r>
        <w:t> </w:t>
      </w:r>
    </w:p>
    <w:p w14:paraId="16BB7E02" w14:textId="77777777" w:rsidR="000D24CB" w:rsidRDefault="000D24CB" w:rsidP="000D24CB">
      <w:pPr>
        <w:pStyle w:val="BodyText"/>
      </w:pPr>
      <w:r>
        <w:t> </w:t>
      </w:r>
    </w:p>
    <w:p w14:paraId="31DDCC6C" w14:textId="77777777" w:rsidR="000D24CB" w:rsidRDefault="000D24CB" w:rsidP="000D24CB">
      <w:pPr>
        <w:pStyle w:val="BodyText"/>
      </w:pPr>
      <w:r>
        <w:t> </w:t>
      </w:r>
    </w:p>
    <w:p w14:paraId="24F81FD5" w14:textId="77777777" w:rsidR="000D24CB" w:rsidRDefault="000D24CB" w:rsidP="000D24CB">
      <w:pPr>
        <w:pStyle w:val="Heading1"/>
      </w:pPr>
      <w:bookmarkStart w:id="0" w:name="author-note"/>
      <w:bookmarkEnd w:id="0"/>
      <w:r>
        <w:t>Author note</w:t>
      </w:r>
    </w:p>
    <w:p w14:paraId="5DE9E4A0" w14:textId="77777777" w:rsidR="000D24CB" w:rsidRDefault="000D24CB" w:rsidP="000D24CB">
      <w:pPr>
        <w:pStyle w:val="FirstParagraph"/>
      </w:pPr>
      <w:r>
        <w:t xml:space="preserve">Correspondence concerning this article should be addressed to Marisa Casillas, P.O. Box 310, 6500 AH Nijmegen, The Netherlands. E-mail: </w:t>
      </w:r>
      <w:hyperlink r:id="rId8">
        <w:r>
          <w:rPr>
            <w:rStyle w:val="Hyperlink"/>
          </w:rPr>
          <w:t>Marisa.Casillas@mpi.nl</w:t>
        </w:r>
      </w:hyperlink>
    </w:p>
    <w:p w14:paraId="0E23A35C" w14:textId="77777777" w:rsidR="00222A87" w:rsidRDefault="00D133E5">
      <w:pPr>
        <w:pStyle w:val="BodyText"/>
      </w:pPr>
      <w:r>
        <w:t> </w:t>
      </w:r>
    </w:p>
    <w:p w14:paraId="083EB911" w14:textId="77777777" w:rsidR="00222A87" w:rsidRDefault="00D133E5">
      <w:pPr>
        <w:pStyle w:val="BodyText"/>
      </w:pPr>
      <w:r>
        <w:t> </w:t>
      </w:r>
    </w:p>
    <w:p w14:paraId="6D8D307D" w14:textId="1DD0D9F6" w:rsidR="00222A87" w:rsidRDefault="00BE380C" w:rsidP="00BE380C">
      <w:pPr>
        <w:pStyle w:val="BodyText"/>
        <w:jc w:val="center"/>
      </w:pPr>
      <w:r>
        <w:lastRenderedPageBreak/>
        <w:t>A</w:t>
      </w:r>
      <w:r w:rsidR="000D24CB">
        <w:t>bstract</w:t>
      </w:r>
    </w:p>
    <w:p w14:paraId="0C58E2AF" w14:textId="77777777" w:rsidR="00D417E6" w:rsidRPr="00D417E6" w:rsidRDefault="00D417E6" w:rsidP="00D417E6">
      <w:pPr>
        <w:pStyle w:val="BodyText"/>
        <w:rPr>
          <w:color w:val="F79646" w:themeColor="accent6"/>
        </w:rPr>
      </w:pPr>
      <w:r w:rsidRPr="00D417E6">
        <w:rPr>
          <w:color w:val="F79646" w:themeColor="accent6"/>
        </w:rPr>
        <w:t>The rate at which young children are directly spoken to varies due to many factors, including (a) caregiver ideas about children as conversational partners and (b) the organization of everyday life. Prior work suggests cross-cultural variation in rates of child-directed speech due to the former factor, but has been fraught with confounds in comparing postindustrial and subsistence farming communities. We investigate the daylong language environments of children (0;0–3;0) on Rossel Island, Papua New Guinea, a small-scale traditional community where prior ethnographic study demonstrated contingency-seeking child interaction styles</w:t>
      </w:r>
      <w:r w:rsidRPr="00D417E6">
        <w:rPr>
          <w:b/>
          <w:color w:val="F79646" w:themeColor="accent6"/>
        </w:rPr>
        <w:t>.</w:t>
      </w:r>
      <w:r w:rsidRPr="00D417E6">
        <w:rPr>
          <w:color w:val="F79646" w:themeColor="accent6"/>
        </w:rPr>
        <w:t xml:space="preserve"> In fact, children were infr</w:t>
      </w:r>
      <w:bookmarkStart w:id="1" w:name="_GoBack"/>
      <w:bookmarkEnd w:id="1"/>
      <w:r w:rsidRPr="00D417E6">
        <w:rPr>
          <w:color w:val="F79646" w:themeColor="accent6"/>
        </w:rPr>
        <w:t>equently directly addressed and linguistic input rate was primarily affected by situational factors, though children’s vocalization maturity showed no developmental delay. We compare the input characteristics between this community and a Tseltal Mayan one in which near-parallel methods produced comparable results, then briefly discuss the models and mechanisms for learning best supported by our findings.</w:t>
      </w:r>
    </w:p>
    <w:p w14:paraId="396D9DB4" w14:textId="77777777" w:rsidR="00222A87" w:rsidRDefault="00D133E5">
      <w:pPr>
        <w:pStyle w:val="BodyText"/>
      </w:pPr>
      <w:r>
        <w:rPr>
          <w:i/>
        </w:rPr>
        <w:t>Keywords:</w:t>
      </w:r>
      <w:r>
        <w:t xml:space="preserve"> Child-directed speech, linguistic input, non-WEIRD, vocal maturity, interaction, Papuan</w:t>
      </w:r>
    </w:p>
    <w:p w14:paraId="3D47DE67" w14:textId="5653A718" w:rsidR="00222A87" w:rsidRDefault="00D133E5">
      <w:pPr>
        <w:pStyle w:val="BodyText"/>
      </w:pPr>
      <w:r>
        <w:t xml:space="preserve">Word count: </w:t>
      </w:r>
      <w:r w:rsidR="00EB59D0">
        <w:rPr>
          <w:color w:val="F79646" w:themeColor="accent6"/>
        </w:rPr>
        <w:t>9724</w:t>
      </w:r>
      <w:r w:rsidRPr="008F5232">
        <w:rPr>
          <w:color w:val="F79646" w:themeColor="accent6"/>
        </w:rPr>
        <w:t xml:space="preserve"> (</w:t>
      </w:r>
      <w:r w:rsidR="00E322B5">
        <w:rPr>
          <w:color w:val="F79646" w:themeColor="accent6"/>
        </w:rPr>
        <w:t>11658</w:t>
      </w:r>
      <w:r w:rsidR="00E23D5C" w:rsidRPr="008F5232">
        <w:rPr>
          <w:color w:val="F79646" w:themeColor="accent6"/>
        </w:rPr>
        <w:t xml:space="preserve"> including </w:t>
      </w:r>
      <w:r w:rsidRPr="008F5232">
        <w:rPr>
          <w:color w:val="F79646" w:themeColor="accent6"/>
        </w:rPr>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2" w:name="intro"/>
      <w:bookmarkEnd w:id="2"/>
      <w:r>
        <w:t>Introduction</w:t>
      </w:r>
    </w:p>
    <w:p w14:paraId="54E8B6A2" w14:textId="2B50113C" w:rsidR="00222A87" w:rsidRDefault="00D133E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rsidRPr="00272AFA">
        <w:rPr>
          <w:color w:val="F79646" w:themeColor="accent6"/>
        </w:rPr>
        <w:t xml:space="preserve"> in particular </w:t>
      </w:r>
      <w:r>
        <w:t>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w:t>
      </w:r>
      <w:r w:rsidRPr="00E94F3A">
        <w:rPr>
          <w:color w:val="F79646" w:themeColor="accent6"/>
        </w:rPr>
        <w:t xml:space="preserve">; </w:t>
      </w:r>
      <w:r w:rsidR="00E94F3A" w:rsidRPr="00E94F3A">
        <w:rPr>
          <w:color w:val="F79646" w:themeColor="accent6"/>
        </w:rPr>
        <w:t>Snow, 1977</w:t>
      </w:r>
      <w:r w:rsidR="00E94F3A">
        <w:t xml:space="preserve">; </w:t>
      </w:r>
      <w:r>
        <w:t xml:space="preserve">Weisleder &amp; Fernald, 2013). However, we </w:t>
      </w:r>
      <w:r w:rsidRPr="00272AFA">
        <w:rPr>
          <w:color w:val="F79646" w:themeColor="accent6"/>
        </w:rPr>
        <w:t>have</w:t>
      </w:r>
      <w:r>
        <w:t xml:space="preserve"> also </w:t>
      </w:r>
      <w:r w:rsidRPr="00272AFA">
        <w:rPr>
          <w:color w:val="F79646" w:themeColor="accent6"/>
        </w:rPr>
        <w:t>known for decades</w:t>
      </w:r>
      <w:r>
        <w:t xml:space="preserve"> that </w:t>
      </w:r>
      <w:r w:rsidRPr="00272AFA">
        <w:rPr>
          <w:color w:val="F79646" w:themeColor="accent6"/>
        </w:rPr>
        <w:t xml:space="preserve">children's </w:t>
      </w:r>
      <w:r>
        <w:t>language environments</w:t>
      </w:r>
      <w:r w:rsidR="00DC1CC5">
        <w:t>—</w:t>
      </w:r>
      <w:r>
        <w:t>e.g., who is around and talking about what to whom</w:t>
      </w:r>
      <w:r w:rsidR="00DC1CC5">
        <w:t>—</w:t>
      </w:r>
      <w:r>
        <w:t xml:space="preserve">vary dramatically within and across families, </w:t>
      </w:r>
      <w:r w:rsidRPr="00272AFA">
        <w:rPr>
          <w:color w:val="F79646" w:themeColor="accent6"/>
        </w:rPr>
        <w:t>and</w:t>
      </w:r>
      <w:r>
        <w:t xml:space="preserve"> that children in some communities </w:t>
      </w:r>
      <w:r w:rsidRPr="00272AFA">
        <w:rPr>
          <w:color w:val="F79646" w:themeColor="accent6"/>
        </w:rPr>
        <w:t>hear</w:t>
      </w:r>
      <w:r>
        <w:t xml:space="preserve"> very little directed talk </w:t>
      </w:r>
      <w:r w:rsidRPr="00272AFA">
        <w:rPr>
          <w:color w:val="F79646" w:themeColor="accent6"/>
        </w:rPr>
        <w:t xml:space="preserve">without any </w:t>
      </w:r>
      <w:r>
        <w:t xml:space="preserve">apparent delays in their linguistic development </w:t>
      </w:r>
      <w:r w:rsidR="008A4262">
        <w:t>(</w:t>
      </w:r>
      <w:r w:rsidR="005F77AA" w:rsidRPr="00272AFA">
        <w:rPr>
          <w:color w:val="F79646" w:themeColor="accent6"/>
        </w:rPr>
        <w:t xml:space="preserve">e.g., Brown, </w:t>
      </w:r>
      <w:r w:rsidRPr="00272AFA">
        <w:rPr>
          <w:color w:val="F79646" w:themeColor="accent6"/>
        </w:rPr>
        <w:t>2011; Brown &amp; Gaskins</w:t>
      </w:r>
      <w:r w:rsidR="005F77AA" w:rsidRPr="00272AFA">
        <w:rPr>
          <w:color w:val="F79646" w:themeColor="accent6"/>
        </w:rPr>
        <w:t>,</w:t>
      </w:r>
      <w:r w:rsidRPr="00272AFA">
        <w:rPr>
          <w:color w:val="F79646" w:themeColor="accent6"/>
        </w:rPr>
        <w:t xml:space="preserve"> 2014; Gaskins</w:t>
      </w:r>
      <w:r w:rsidR="005F77AA" w:rsidRPr="00272AFA">
        <w:rPr>
          <w:color w:val="F79646" w:themeColor="accent6"/>
        </w:rPr>
        <w:t xml:space="preserve">, </w:t>
      </w:r>
      <w:r w:rsidRPr="00272AFA">
        <w:rPr>
          <w:color w:val="F79646" w:themeColor="accent6"/>
        </w:rPr>
        <w:t>2006; de León</w:t>
      </w:r>
      <w:r w:rsidR="005F77AA" w:rsidRPr="00272AFA">
        <w:rPr>
          <w:color w:val="F79646" w:themeColor="accent6"/>
        </w:rPr>
        <w:t>,</w:t>
      </w:r>
      <w:r w:rsidRPr="00272AFA">
        <w:rPr>
          <w:color w:val="F79646" w:themeColor="accent6"/>
        </w:rPr>
        <w:t xml:space="preserve"> 2011; Ochs &amp; Schieffelin</w:t>
      </w:r>
      <w:r w:rsidR="005F77AA" w:rsidRPr="00272AFA">
        <w:rPr>
          <w:color w:val="F79646" w:themeColor="accent6"/>
        </w:rPr>
        <w:t xml:space="preserve">, </w:t>
      </w:r>
      <w:r w:rsidRPr="00272AFA">
        <w:rPr>
          <w:color w:val="F79646" w:themeColor="accent6"/>
        </w:rPr>
        <w:t>1984; Ochs</w:t>
      </w:r>
      <w:r w:rsidR="005F77AA" w:rsidRPr="00272AFA">
        <w:rPr>
          <w:color w:val="F79646" w:themeColor="accent6"/>
        </w:rPr>
        <w:t xml:space="preserve">, </w:t>
      </w:r>
      <w:r w:rsidRPr="00272AFA">
        <w:rPr>
          <w:color w:val="F79646" w:themeColor="accent6"/>
        </w:rPr>
        <w:t>1988; Rogoff, Paradise, Arauz, Correa-Chávez, &amp; Angelillo</w:t>
      </w:r>
      <w:r w:rsidR="005F77AA" w:rsidRPr="00272AFA">
        <w:rPr>
          <w:color w:val="F79646" w:themeColor="accent6"/>
        </w:rPr>
        <w:t>,</w:t>
      </w:r>
      <w:r w:rsidRPr="00272AFA">
        <w:rPr>
          <w:color w:val="F79646" w:themeColor="accent6"/>
        </w:rPr>
        <w:t xml:space="preserve"> 2003; Schieffelin</w:t>
      </w:r>
      <w:r w:rsidR="005F77AA" w:rsidRPr="00272AFA">
        <w:rPr>
          <w:color w:val="F79646" w:themeColor="accent6"/>
        </w:rPr>
        <w:t>,</w:t>
      </w:r>
      <w:r w:rsidRPr="00272AFA">
        <w:rPr>
          <w:color w:val="F79646" w:themeColor="accent6"/>
        </w:rPr>
        <w:t xml:space="preserve"> 1990</w:t>
      </w:r>
      <w:r w:rsidR="008A4262">
        <w:t>)</w:t>
      </w:r>
      <w:r>
        <w:t>.</w:t>
      </w:r>
    </w:p>
    <w:p w14:paraId="7EB33DA3" w14:textId="17FE2F63" w:rsidR="00222A87" w:rsidRPr="00272AFA" w:rsidRDefault="00D133E5">
      <w:pPr>
        <w:pStyle w:val="BodyText"/>
        <w:rPr>
          <w:color w:val="F79646" w:themeColor="accent6"/>
        </w:rPr>
      </w:pPr>
      <w:r w:rsidRPr="00272AFA">
        <w:rPr>
          <w:color w:val="F79646" w:themeColor="accent6"/>
        </w:rPr>
        <w:t>A key puzzle for developmental language science</w:t>
      </w:r>
      <w:r>
        <w:t xml:space="preserve"> is then </w:t>
      </w:r>
      <w:r w:rsidRPr="00272AFA">
        <w:rPr>
          <w:color w:val="F79646" w:themeColor="accent6"/>
        </w:rPr>
        <w:t>uncovering</w:t>
      </w:r>
      <w:r>
        <w:t xml:space="preserve"> how the human cognitive toolkit for language learning can flexibly adapt to the variable circumstances under which it occurs</w:t>
      </w:r>
      <w:r w:rsidRPr="00272AFA">
        <w:rPr>
          <w:color w:val="F79646" w:themeColor="accent6"/>
        </w:rPr>
        <w:t xml:space="preserve">,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272AFA">
        <w:rPr>
          <w:color w:val="F79646" w:themeColor="accent6"/>
        </w:rPr>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272AFA">
        <w:rPr>
          <w:color w:val="F79646" w:themeColor="accent6"/>
        </w:rPr>
        <w:t xml:space="preserve"> </w:t>
      </w:r>
      <w:r w:rsidRPr="00272AFA">
        <w:rPr>
          <w:color w:val="F79646" w:themeColor="accent6"/>
        </w:rPr>
        <w:t xml:space="preserve">held ideas about talking to children, </w:t>
      </w:r>
      <w:r w:rsidR="005B7F67" w:rsidRPr="00272AFA">
        <w:rPr>
          <w:color w:val="F79646" w:themeColor="accent6"/>
        </w:rPr>
        <w:t xml:space="preserve">and </w:t>
      </w:r>
      <w:r w:rsidRPr="00272AFA">
        <w:rPr>
          <w:color w:val="F79646" w:themeColor="accent6"/>
        </w:rPr>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sidRPr="00272AFA">
        <w:rPr>
          <w:i/>
          <w:color w:val="F79646" w:themeColor="accent6"/>
        </w:rPr>
        <w:t>not</w:t>
      </w:r>
      <w:r w:rsidRPr="00272AFA">
        <w:rPr>
          <w:color w:val="F79646" w:themeColor="accent6"/>
        </w:rPr>
        <w:t xml:space="preserve"> child-centric (Tseltal Mayan, Tenejapa, Mexico).</w:t>
      </w:r>
    </w:p>
    <w:p w14:paraId="3D509FC9" w14:textId="77777777" w:rsidR="00222A87" w:rsidRPr="00272AFA" w:rsidRDefault="00D133E5">
      <w:pPr>
        <w:pStyle w:val="Heading2"/>
        <w:rPr>
          <w:color w:val="F79646" w:themeColor="accent6"/>
        </w:rPr>
      </w:pPr>
      <w:bookmarkStart w:id="3" w:name="ideological-and-situational-variation-in"/>
      <w:bookmarkEnd w:id="3"/>
      <w:r w:rsidRPr="00272AFA">
        <w:rPr>
          <w:color w:val="F79646" w:themeColor="accent6"/>
        </w:rPr>
        <w:t>Ideological and situational variation in CDS</w:t>
      </w:r>
    </w:p>
    <w:p w14:paraId="590EA860" w14:textId="77777777" w:rsidR="00222A87" w:rsidRPr="00272AFA" w:rsidRDefault="00D133E5">
      <w:pPr>
        <w:pStyle w:val="FirstParagraph"/>
        <w:rPr>
          <w:color w:val="F79646" w:themeColor="accent6"/>
        </w:rPr>
      </w:pPr>
      <w:r w:rsidRPr="00272AFA">
        <w:rPr>
          <w:color w:val="F79646" w:themeColor="accent6"/>
        </w:rP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272AFA">
        <w:rPr>
          <w:color w:val="F79646" w:themeColor="accent6"/>
        </w:rPr>
        <w:lastRenderedPageBreak/>
        <w:t>Casillas and colleagues (2019) found that the Tseltal Mayan children in their sample heard an average of 3.6 minutes per hour of speech directed to them</w:t>
      </w:r>
      <w:r w:rsidR="00DC1CC5" w:rsidRPr="00272AFA">
        <w:rPr>
          <w:color w:val="F79646" w:themeColor="accent6"/>
        </w:rPr>
        <w:t>—</w:t>
      </w:r>
      <w:r w:rsidRPr="00272AFA">
        <w:rPr>
          <w:color w:val="F79646" w:themeColor="accent6"/>
        </w:rPr>
        <w:t>around one third of the current estimate for North American English (Bergelson et al., 2019b)</w:t>
      </w:r>
      <w:r w:rsidR="00DC1CC5" w:rsidRPr="00272AFA">
        <w:rPr>
          <w:color w:val="F79646" w:themeColor="accent6"/>
        </w:rPr>
        <w:t>—</w:t>
      </w:r>
      <w:r w:rsidRPr="00272AFA">
        <w:rPr>
          <w:color w:val="F79646" w:themeColor="accent6"/>
        </w:rPr>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225E5A38" w14:textId="1C62AC3E" w:rsidR="00222A87" w:rsidRDefault="00D133E5">
      <w:pPr>
        <w:pStyle w:val="BodyText"/>
      </w:pPr>
      <w:r w:rsidRPr="00272AFA">
        <w:rPr>
          <w:color w:val="F79646" w:themeColor="accent6"/>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272AFA">
        <w:rPr>
          <w:color w:val="F79646" w:themeColor="accent6"/>
        </w:rPr>
        <w:t>are</w:t>
      </w:r>
      <w:r w:rsidRPr="00272AFA">
        <w:rPr>
          <w:color w:val="F79646" w:themeColor="accent6"/>
        </w:rPr>
        <w:t xml:space="preserve"> associated with </w:t>
      </w:r>
      <w:r w:rsidRPr="00272AFA">
        <w:rPr>
          <w:i/>
          <w:color w:val="F79646" w:themeColor="accent6"/>
        </w:rPr>
        <w:t>peak</w:t>
      </w:r>
      <w:r w:rsidRPr="00272AFA">
        <w:rPr>
          <w:color w:val="F79646" w:themeColor="accent6"/>
        </w:rPr>
        <w:t xml:space="preserve"> input periods in the Tseltal Mayan sample (e.g., mealtimes, Casillas et al., 2019). In the Tseltal Mayan context specifically, the afternoon-</w:t>
      </w:r>
      <w:r w:rsidRPr="00272AFA">
        <w:rPr>
          <w:color w:val="F79646" w:themeColor="accent6"/>
        </w:rPr>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272AFA">
        <w:rPr>
          <w:color w:val="F79646" w:themeColor="accent6"/>
        </w:rPr>
        <w:t xml:space="preserve">rest, </w:t>
      </w:r>
      <w:r w:rsidRPr="00272AFA">
        <w:rPr>
          <w:color w:val="F79646" w:themeColor="accent6"/>
        </w:rPr>
        <w:t>and other domestic activities.</w:t>
      </w:r>
    </w:p>
    <w:p w14:paraId="18B7ED0A" w14:textId="77777777" w:rsidR="00222A87" w:rsidRDefault="00D133E5">
      <w:pPr>
        <w:pStyle w:val="Heading2"/>
      </w:pPr>
      <w:bookmarkStart w:id="4" w:name="the-current-study"/>
      <w:bookmarkEnd w:id="4"/>
      <w:r>
        <w:t>The current study</w:t>
      </w:r>
    </w:p>
    <w:p w14:paraId="630D522D" w14:textId="3FE5C0B9" w:rsidR="00222A87" w:rsidRDefault="00D133E5">
      <w:pPr>
        <w:pStyle w:val="FirstParagraph"/>
      </w:pPr>
      <w:r w:rsidRPr="00272AFA">
        <w:rPr>
          <w:color w:val="F79646" w:themeColor="accent6"/>
        </w:rPr>
        <w:t>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in press). Rossel families therefore offer a critical new datapoint in our understanding of cross-cultural variation in linguistic input</w:t>
      </w:r>
      <w:r w:rsidRPr="00272AFA">
        <w:rPr>
          <w:rStyle w:val="FootnoteReference"/>
          <w:color w:val="F79646" w:themeColor="accent6"/>
        </w:rPr>
        <w:footnoteReference w:id="1"/>
      </w:r>
      <w:r w:rsidRPr="00272AFA">
        <w:rPr>
          <w:color w:val="F79646" w:themeColor="accent6"/>
        </w:rPr>
        <w:t>:</w:t>
      </w:r>
      <w:r>
        <w:t xml:space="preserve"> If patterns of </w:t>
      </w:r>
      <w:r w:rsidRPr="00272AFA">
        <w:rPr>
          <w:color w:val="F79646" w:themeColor="accent6"/>
        </w:rPr>
        <w:t>CDS on Rossel Island</w:t>
      </w:r>
      <w:r>
        <w:t xml:space="preserve"> are similar to those reported for North American English, </w:t>
      </w:r>
      <w:r w:rsidRPr="00272AFA">
        <w:rPr>
          <w:color w:val="F79646" w:themeColor="accent6"/>
        </w:rPr>
        <w:t>it would support th</w:t>
      </w:r>
      <w:r w:rsidR="003D2268">
        <w:rPr>
          <w:color w:val="F79646" w:themeColor="accent6"/>
        </w:rPr>
        <w:t>e</w:t>
      </w:r>
      <w:r w:rsidRPr="00272AFA">
        <w:rPr>
          <w:color w:val="F79646" w:themeColor="accent6"/>
        </w:rPr>
        <w:t xml:space="preserve"> idea that caregiver ideology drives substantial differences in language input across variable contexts</w:t>
      </w:r>
      <w:r>
        <w:t xml:space="preserve">. If, instead, </w:t>
      </w:r>
      <w:r w:rsidRPr="00272AFA">
        <w:rPr>
          <w:color w:val="F79646" w:themeColor="accent6"/>
        </w:rPr>
        <w:t>CDS</w:t>
      </w:r>
      <w:r>
        <w:t xml:space="preserve"> patterns are more similar to that of the Tseltal </w:t>
      </w:r>
      <w:r w:rsidRPr="00272AFA">
        <w:rPr>
          <w:color w:val="F79646" w:themeColor="accent6"/>
        </w:rPr>
        <w:t>Mayan</w:t>
      </w:r>
      <w:r>
        <w:t xml:space="preserve"> community, </w:t>
      </w:r>
      <w:r w:rsidRPr="00272AFA">
        <w:rPr>
          <w:color w:val="F79646" w:themeColor="accent6"/>
        </w:rPr>
        <w:t xml:space="preserve">it would support the idea that </w:t>
      </w:r>
      <w:r w:rsidRPr="00272AFA">
        <w:rPr>
          <w:i/>
          <w:color w:val="F79646" w:themeColor="accent6"/>
        </w:rPr>
        <w:t>lifestyle</w:t>
      </w:r>
      <w:r w:rsidRPr="00272AFA">
        <w:rPr>
          <w:color w:val="F79646" w:themeColor="accent6"/>
        </w:rPr>
        <w:t xml:space="preserve"> </w:t>
      </w:r>
      <w:r w:rsidRPr="00272AFA">
        <w:rPr>
          <w:color w:val="F79646" w:themeColor="accent6"/>
        </w:rPr>
        <w:lastRenderedPageBreak/>
        <w:t>drives substantial differences in language input across variable contexts</w:t>
      </w:r>
      <w:r>
        <w:t xml:space="preserve">; specifically, subsistence farming vs. post-industrial </w:t>
      </w:r>
      <w:r w:rsidRPr="00272AFA">
        <w:rPr>
          <w:color w:val="F79646" w:themeColor="accent6"/>
        </w:rPr>
        <w:t>lifestyles</w:t>
      </w:r>
      <w:r>
        <w:t>.</w:t>
      </w:r>
    </w:p>
    <w:p w14:paraId="1116755F" w14:textId="6A9090BD" w:rsidR="00222A87" w:rsidRPr="00272AFA" w:rsidRDefault="00D133E5">
      <w:pPr>
        <w:pStyle w:val="BodyText"/>
        <w:rPr>
          <w:color w:val="F79646" w:themeColor="accent6"/>
        </w:rPr>
      </w:pPr>
      <w:r w:rsidRPr="00272AFA">
        <w:rPr>
          <w:color w:val="F79646" w:themeColor="accent6"/>
        </w:rPr>
        <w:t>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272AFA">
        <w:rPr>
          <w:color w:val="F79646" w:themeColor="accent6"/>
        </w:rPr>
        <w:t xml:space="preserve">gelson et al., in preparation; </w:t>
      </w:r>
      <w:r w:rsidRPr="00272AFA">
        <w:rPr>
          <w:color w:val="F79646" w:themeColor="accent6"/>
        </w:rPr>
        <w:t>Casillas &amp; Cristia,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272AFA">
        <w:rPr>
          <w:color w:val="F79646" w:themeColor="accent6"/>
        </w:rPr>
        <w:t>—</w:t>
      </w:r>
      <w:r w:rsidRPr="00272AFA">
        <w:rPr>
          <w:color w:val="F79646" w:themeColor="accent6"/>
        </w:rPr>
        <w:t>albeit imperfectly</w:t>
      </w:r>
      <w:r w:rsidR="00DC1CC5" w:rsidRPr="00272AFA">
        <w:rPr>
          <w:color w:val="F79646" w:themeColor="accent6"/>
        </w:rPr>
        <w:t>—</w:t>
      </w:r>
      <w:r w:rsidRPr="00272AFA">
        <w:rPr>
          <w:color w:val="F79646" w:themeColor="accent6"/>
        </w:rPr>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272AFA" w:rsidRDefault="00D133E5">
      <w:pPr>
        <w:pStyle w:val="BodyText"/>
        <w:rPr>
          <w:color w:val="F79646" w:themeColor="accent6"/>
        </w:rPr>
      </w:pPr>
      <w:r w:rsidRPr="00272AFA">
        <w:rPr>
          <w:color w:val="F79646" w:themeColor="accent6"/>
        </w:rPr>
        <w:t>On the basis of past comparative work, we predicted that Rossel children would</w:t>
      </w:r>
      <w:r>
        <w:t xml:space="preserve"> hear frequent CDS from a wide variety of caregiver types throughout the day</w:t>
      </w:r>
      <w:r w:rsidRPr="00272AFA">
        <w:rPr>
          <w:color w:val="F79646" w:themeColor="accent6"/>
        </w:rPr>
        <w:t xml:space="preserve">, which would support the idea that ideologies about child-directed talk drive substantial cross-context variation in </w:t>
      </w:r>
      <w:r w:rsidRPr="00272AFA">
        <w:rPr>
          <w:color w:val="F79646" w:themeColor="accent6"/>
        </w:rPr>
        <w:lastRenderedPageBreak/>
        <w:t>language input rate. Prior ethnographic findings also led us to predict that: (a) distributed caregiving practices on Rossel Island would weaken hour-to-hour fluctuations in CDS rate 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Cristia, in preparation).</w:t>
      </w:r>
    </w:p>
    <w:p w14:paraId="3F1EF892" w14:textId="77777777" w:rsidR="00222A87" w:rsidRDefault="00D133E5">
      <w:pPr>
        <w:pStyle w:val="BodyText"/>
      </w:pPr>
      <w:r>
        <w:t xml:space="preserve">In what follows we review the ethnographic work done in this community previously, describe our methods for following up on that work with daylong recordings, present the current findings, and discuss the </w:t>
      </w:r>
      <w:r w:rsidRPr="00272AFA">
        <w:rPr>
          <w:color w:val="F79646" w:themeColor="accent6"/>
        </w:rPr>
        <w:t xml:space="preserve">similarities and </w:t>
      </w:r>
      <w:r>
        <w:t>differences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5" w:name="methods"/>
      <w:bookmarkEnd w:id="5"/>
      <w:r>
        <w:t>Method</w:t>
      </w:r>
    </w:p>
    <w:p w14:paraId="13F3265A" w14:textId="77777777" w:rsidR="00222A87" w:rsidRDefault="00D133E5">
      <w:pPr>
        <w:pStyle w:val="Heading2"/>
      </w:pPr>
      <w:bookmarkStart w:id="6" w:name="methods-dataset"/>
      <w:bookmarkEnd w:id="6"/>
      <w:r>
        <w:t>Corpus</w:t>
      </w:r>
    </w:p>
    <w:p w14:paraId="7213037D" w14:textId="46DFD728" w:rsidR="00222A87" w:rsidRDefault="00D133E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w:t>
      </w:r>
      <w:r>
        <w:lastRenderedPageBreak/>
        <w:t xml:space="preserve">Rossel Island is Yélî Dnye, an isolate (Papuan), which features a phonological inventory and set of grammatical features unlike any other in the (predominantly Austronesian) languages of the region. The islanders are </w:t>
      </w:r>
      <w:r w:rsidRPr="00272AFA">
        <w:rPr>
          <w:color w:val="F79646" w:themeColor="accent6"/>
        </w:rPr>
        <w:t>swidden horticulturalists</w:t>
      </w:r>
      <w:r>
        <w:t xml:space="preserve">, cultivating taro, sweet potato, manioc, yam, coconut, and more for their daily subsistence, with protein coming from fishing and (occasionally) slaughtering pigs or </w:t>
      </w:r>
      <w:r w:rsidRPr="00272AFA">
        <w:rPr>
          <w:color w:val="F79646" w:themeColor="accent6"/>
        </w:rPr>
        <w:t>wild</w:t>
      </w:r>
      <w:r>
        <w:t xml:space="preserve"> animals </w:t>
      </w:r>
      <w:r w:rsidRPr="00272AFA">
        <w:rPr>
          <w:color w:val="F79646" w:themeColor="accent6"/>
        </w:rPr>
        <w:t>such as possums, goannas, snakes</w:t>
      </w:r>
      <w:r>
        <w:t>. Children often forage independently for shellfish and wild nuts, extra sources of protein. Most children on Rossel Island grow up speaking Yélî Dnye at home</w:t>
      </w:r>
      <w:r w:rsidRPr="00272AFA">
        <w:rPr>
          <w:color w:val="F79646" w:themeColor="accent6"/>
        </w:rPr>
        <w:t xml:space="preserve">, though English, Tok Pisin, and a number of languages </w:t>
      </w:r>
      <w:r w:rsidR="00D61162" w:rsidRPr="00272AFA">
        <w:rPr>
          <w:color w:val="F79646" w:themeColor="accent6"/>
        </w:rPr>
        <w:t xml:space="preserve">from the nearby islands and mainland </w:t>
      </w:r>
      <w:r w:rsidRPr="00272AFA">
        <w:rPr>
          <w:color w:val="F79646" w:themeColor="accent6"/>
        </w:rPr>
        <w:t xml:space="preserve">are frequently heard from adults and school-aged children. Formal training in </w:t>
      </w:r>
      <w:r>
        <w:t xml:space="preserve">English as a second language </w:t>
      </w:r>
      <w:r w:rsidRPr="00272AFA">
        <w:rPr>
          <w:color w:val="F79646" w:themeColor="accent6"/>
        </w:rPr>
        <w:t>begins in school</w:t>
      </w:r>
      <w:r>
        <w:t>, around age 7. Children grow up in patrilocal household clusters (i.e., their family and their father's brothers' families), usually arranged such that there is some shared open space between households.</w:t>
      </w:r>
    </w:p>
    <w:p w14:paraId="5E79C679" w14:textId="77777777" w:rsidR="00222A87" w:rsidRDefault="00D133E5">
      <w:pPr>
        <w:pStyle w:val="BodyText"/>
      </w:pPr>
      <w:r>
        <w:t xml:space="preserve">During their waking hours, infants are typically carried in a caregiver's arms as they go about daily activities. Infants, even very young ones, are frequently passed between different </w:t>
      </w:r>
      <w:r w:rsidRPr="00272AFA">
        <w:rPr>
          <w:color w:val="F79646" w:themeColor="accent6"/>
        </w:rPr>
        <w:t>people</w:t>
      </w:r>
      <w:r>
        <w:t xml:space="preserve"> (male and female, young and elderly) throughout the day, returning to the mother to suckle when hungry. </w:t>
      </w:r>
      <w:r w:rsidRPr="00272AFA">
        <w:rPr>
          <w:color w:val="F79646" w:themeColor="accent6"/>
        </w:rPr>
        <w:t>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w:t>
      </w:r>
      <w:r w:rsidRPr="00272AFA">
        <w:rPr>
          <w:color w:val="F79646" w:themeColor="accent6"/>
        </w:rPr>
        <w:t>feed</w:t>
      </w:r>
      <w:r>
        <w:t xml:space="preserve"> and more socializing before </w:t>
      </w:r>
      <w:r>
        <w:lastRenderedPageBreak/>
        <w:t>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00BFF7BD" w14:textId="77777777" w:rsidR="00222A87" w:rsidRDefault="00D133E5">
      <w:pPr>
        <w:pStyle w:val="BodyText"/>
      </w:pPr>
      <w:r>
        <w:t>Interaction with infants and young children on Rossel Island is initiated by women, men, girls, and boys alike in a face-to-face, contingency-seeking, and affect-laden style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Default="00D133E5">
      <w:pPr>
        <w:pStyle w:val="BodyText"/>
      </w:pPr>
      <w:r>
        <w:t xml:space="preserve">The data presented here come from the Rossel subset of the NAME-OMITTED-FOR-REVIEW Corpus, a collection of raw daylong recordings and supplementary data from over 100 children under age four growing up on Rossel Island (REFERENCE-OMITTED-FOR-REVIEW). The Rossel subcorpus was collected in 2016 and includes daylong audio recordings </w:t>
      </w:r>
      <w:r>
        <w:lastRenderedPageBreak/>
        <w:t>and experimental data from 57 children born to 43 mothers. These children had 0</w:t>
      </w:r>
      <w:r w:rsidR="00DC1CC5">
        <w:t>–</w:t>
      </w:r>
      <w:r>
        <w:t>2 younger siblings (mean = 0.36; median = 0) and 0</w:t>
      </w:r>
      <w:r w:rsidR="00DC1CC5">
        <w:t>–</w:t>
      </w:r>
      <w:r>
        <w:t xml:space="preserve">5 older siblings (mean = 2; median = 2); most participating caregivers were on the younger end of those in the community, though </w:t>
      </w:r>
      <w:r w:rsidRPr="00272AFA">
        <w:rPr>
          <w:color w:val="F79646" w:themeColor="accent6"/>
        </w:rPr>
        <w:t xml:space="preserve">two children's primary caregivers were their biological grandparents </w:t>
      </w:r>
      <w:r>
        <w:t>(mean = 33.9 years; median = 32; range = 24</w:t>
      </w:r>
      <w:r w:rsidR="00DC1CC5">
        <w:t>–</w:t>
      </w:r>
      <w:r>
        <w:t>70 and fathers: mean = 35.6; median = 34; range = 24</w:t>
      </w:r>
      <w:r w:rsidR="00DC1CC5">
        <w:t>—</w:t>
      </w:r>
      <w:r>
        <w:t>57). Based on available demographic data for 40 of the biological mothers we estimate that mothers are typically 21.4 years old when they give birth to their first child (median = 21.5; range = 12</w:t>
      </w:r>
      <w:r w:rsidR="00DC1CC5">
        <w:t>–</w:t>
      </w:r>
      <w:r>
        <w:t>30). On the basis of demographic data for 34 of those mothers, we estimate an average inter-child interval of 2.8 years (median = 2.6; range = 1.75</w:t>
      </w:r>
      <w:r w:rsidR="00DC1CC5">
        <w:t>–</w:t>
      </w:r>
      <w:r>
        <w:t>5.2)</w:t>
      </w:r>
      <w:r w:rsidRPr="00C03286">
        <w:t>.</w:t>
      </w:r>
    </w:p>
    <w:p w14:paraId="267BA9B6" w14:textId="77777777" w:rsidR="00222A87" w:rsidRDefault="00D133E5">
      <w:pPr>
        <w:pStyle w:val="BodyText"/>
      </w:pPr>
      <w:r w:rsidRPr="00272AFA">
        <w:rPr>
          <w:color w:val="F79646" w:themeColor="accent6"/>
        </w:rPr>
        <w:t>The size of households</w:t>
      </w:r>
      <w:r>
        <w:t xml:space="preserve">, defined here as the number of people sharing kitchen and sleeping areas on a daily basis, ranged between 3 and 12 (mean = 7; median = 7). Households are clustered into small patrilocal hamlets which </w:t>
      </w:r>
      <w:r w:rsidRPr="00272AFA">
        <w:rPr>
          <w:color w:val="F79646" w:themeColor="accent6"/>
        </w:rPr>
        <w:t>afford</w:t>
      </w:r>
      <w:r>
        <w:t xml:space="preserve"> a wider group of communal caregivers and playmates. The hamlets themselves are clustered together into patches of more distantly related patrilocal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w:t>
      </w:r>
      <w:r w:rsidRPr="00272AFA">
        <w:rPr>
          <w:color w:val="F79646" w:themeColor="accent6"/>
        </w:rPr>
        <w:t>the Tseltal sample</w:t>
      </w:r>
      <w:r>
        <w:t xml:space="preserve"> used in Casillas et al. (2019</w:t>
      </w:r>
      <w:r w:rsidR="00DC74BC">
        <w:t xml:space="preserve">; </w:t>
      </w:r>
      <w:r w:rsidR="00DC74BC" w:rsidRPr="00B0619B">
        <w:rPr>
          <w:color w:val="F79646" w:themeColor="accent6"/>
        </w:rPr>
        <w:t>see Table 1 caption for details</w:t>
      </w:r>
      <w:r>
        <w:t>). As far as we could ascertain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t xml:space="preserve">Dates of birth for children were initially collected via caregiver report. We were able to verify the majority of birth dates using the records at the island health clinic. Because not all mothers give birth at the clinic and because dates are </w:t>
      </w:r>
      <w:r w:rsidRPr="00B0619B">
        <w:rPr>
          <w:color w:val="F79646" w:themeColor="accent6"/>
        </w:rPr>
        <w:t>logged</w:t>
      </w:r>
      <w:r>
        <w:t xml:space="preserve"> by hand, some births are not recorded, are inaccurately recorded, or otherwise significantly </w:t>
      </w:r>
      <w:r w:rsidR="00DC74BC">
        <w:t>diverge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t>The data we present come from 7</w:t>
      </w:r>
      <w:r w:rsidR="00DC1CC5">
        <w:t>–</w:t>
      </w:r>
      <w:r>
        <w:t xml:space="preserve">9-hour recordings </w:t>
      </w:r>
      <w:r w:rsidRPr="00B0619B">
        <w:rPr>
          <w:color w:val="F79646" w:themeColor="accent6"/>
        </w:rPr>
        <w:t xml:space="preserve">made at home during daylight </w:t>
      </w:r>
      <w:r w:rsidR="003E0A70" w:rsidRPr="00B0619B">
        <w:rPr>
          <w:color w:val="F79646" w:themeColor="accent6"/>
        </w:rPr>
        <w:t xml:space="preserve">hours </w:t>
      </w:r>
      <w:r w:rsidRPr="00B0619B">
        <w:rPr>
          <w:color w:val="F79646" w:themeColor="accent6"/>
        </w:rPr>
        <w:t>(6:00</w:t>
      </w:r>
      <w:r w:rsidR="00DC1CC5" w:rsidRPr="00B0619B">
        <w:rPr>
          <w:color w:val="F79646" w:themeColor="accent6"/>
        </w:rPr>
        <w:t>–</w:t>
      </w:r>
      <w:r w:rsidR="002B6304" w:rsidRPr="00B0619B">
        <w:rPr>
          <w:color w:val="F79646" w:themeColor="accent6"/>
        </w:rPr>
        <w:t>18</w:t>
      </w:r>
      <w:r w:rsidRPr="00B0619B">
        <w:rPr>
          <w:color w:val="F79646" w:themeColor="accent6"/>
        </w:rPr>
        <w:t>:00; there is little or no powered light after dark)</w:t>
      </w:r>
      <w:r>
        <w:t xml:space="preserve">. Children wore the recording device: an elastic vest containing a small stereo audio recorder (Olympus WS-832 or WS-853) and a miniature camera that captured photos </w:t>
      </w:r>
      <w:r w:rsidRPr="00B0619B">
        <w:rPr>
          <w:color w:val="F79646" w:themeColor="accent6"/>
        </w:rPr>
        <w:t>from the child's frontal viewpoint</w:t>
      </w:r>
      <w:r>
        <w:t xml:space="preserve"> at a fixed interval (every 15 seconds; Narrative Clip 1). The camera was outfitted with a fisheye lens that allowed us to capture 180 degrees of the child's frontal view. This photo technique increases the ease and reliability of transcription and annotation </w:t>
      </w:r>
      <w:r w:rsidRPr="00B0619B">
        <w:rPr>
          <w:color w:val="F79646" w:themeColor="accent6"/>
        </w:rPr>
        <w:t>by giving scene information that aids activity and interlocutor identification</w:t>
      </w:r>
      <w:r>
        <w:t>.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Radboud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(years;months.days);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r>
              <w:t>secondary</w:t>
            </w:r>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r>
              <w:t>primary</w:t>
            </w:r>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r>
              <w:t>preparatory</w:t>
            </w:r>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r>
              <w:t>secondary</w:t>
            </w:r>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r>
              <w:t>secondary</w:t>
            </w:r>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r>
              <w:t>primary</w:t>
            </w:r>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r>
              <w:t>secondary</w:t>
            </w:r>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r>
              <w:t>primary</w:t>
            </w:r>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r>
              <w:t>secondary</w:t>
            </w:r>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02;11.29</w:t>
            </w:r>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r>
              <w:t>primary</w:t>
            </w:r>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7" w:name="methods-samples"/>
      <w:bookmarkEnd w:id="7"/>
      <w:r>
        <w:t>Data selection and annotation</w:t>
      </w:r>
    </w:p>
    <w:p w14:paraId="254696B9" w14:textId="77777777" w:rsidR="00222A87" w:rsidRDefault="00D133E5">
      <w:pPr>
        <w:pStyle w:val="FirstParagraph"/>
      </w:pPr>
      <w:r>
        <w:t>From the daylong recordings of 57 Rossel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w:t>
      </w:r>
      <w:r w:rsidRPr="00B0619B">
        <w:rPr>
          <w:color w:val="F79646" w:themeColor="accent6"/>
        </w:rPr>
        <w:t xml:space="preserve">target child </w:t>
      </w:r>
      <w:r>
        <w:t xml:space="preserve">vocal activity 1-minute clips, and one manually-selected 5-minute expansion of the </w:t>
      </w:r>
      <w:r w:rsidRPr="00B0619B">
        <w:rPr>
          <w:color w:val="F79646" w:themeColor="accent6"/>
        </w:rPr>
        <w:t>highest-activity</w:t>
      </w:r>
      <w:r>
        <w:t xml:space="preserve"> one-minute clip, for a total of 37.5 minutes of transcribed audio for each child (6.25 audio hours in total).</w:t>
      </w:r>
    </w:p>
    <w:p w14:paraId="2010F4CD" w14:textId="77777777" w:rsidR="00222A87" w:rsidRPr="00B0619B" w:rsidRDefault="00D133E5">
      <w:pPr>
        <w:pStyle w:val="BodyText"/>
        <w:rPr>
          <w:color w:val="F79646" w:themeColor="accent6"/>
        </w:rPr>
      </w:pPr>
      <w:r w:rsidRPr="00B0619B">
        <w:rPr>
          <w:color w:val="F79646" w:themeColor="accent6"/>
        </w:rP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B0619B">
        <w:rPr>
          <w:i/>
          <w:color w:val="F79646" w:themeColor="accent6"/>
        </w:rPr>
        <w:t>burst</w:t>
      </w:r>
      <w:r w:rsidRPr="00B0619B">
        <w:rPr>
          <w:color w:val="F79646" w:themeColor="accent6"/>
        </w:rP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B0619B">
        <w:rPr>
          <w:color w:val="F79646" w:themeColor="accent6"/>
        </w:rPr>
        <w:t>We were limited to annotating these</w:t>
      </w:r>
      <w:r>
        <w:t xml:space="preserve"> sub-clips from only 10 children because of the time-intensive nature of transcribing these naturalistic data; 1 minute of audio typically took approximately 60</w:t>
      </w:r>
      <w:r w:rsidR="00DC1CC5">
        <w:t>–</w:t>
      </w:r>
      <w:r>
        <w:t xml:space="preserve">70 minutes to be segmented into utterances, transcribed, annotated, and </w:t>
      </w:r>
      <w:r>
        <w:lastRenderedPageBreak/>
        <w:t>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2B12DA84" w14:textId="77777777" w:rsidR="00222A87" w:rsidRDefault="00D133E5">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0D55D465" w14:textId="77777777" w:rsidR="00222A87" w:rsidRPr="00B0619B" w:rsidRDefault="00D133E5">
      <w:pPr>
        <w:pStyle w:val="BodyText"/>
        <w:rPr>
          <w:color w:val="F79646" w:themeColor="accent6"/>
        </w:rPr>
      </w:pPr>
      <w:r w:rsidRPr="00B0619B">
        <w:rPr>
          <w:color w:val="F79646" w:themeColor="accent6"/>
        </w:rPr>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B0619B" w:rsidRDefault="00D133E5">
      <w:pPr>
        <w:pStyle w:val="BodyText"/>
        <w:rPr>
          <w:color w:val="F79646" w:themeColor="accent6"/>
        </w:rPr>
      </w:pPr>
      <w:r w:rsidRPr="00B0619B">
        <w:rPr>
          <w:color w:val="F79646" w:themeColor="accent6"/>
        </w:rPr>
        <w:t xml:space="preserve">To identify addressees the audio and photo context were used to review </w:t>
      </w:r>
      <w:r w:rsidR="009F23A0" w:rsidRPr="00B0619B">
        <w:rPr>
          <w:color w:val="F79646" w:themeColor="accent6"/>
        </w:rPr>
        <w:t xml:space="preserve">to </w:t>
      </w:r>
      <w:r w:rsidRPr="00B0619B">
        <w:rPr>
          <w:color w:val="F79646" w:themeColor="accent6"/>
        </w:rPr>
        <w:t>w</w:t>
      </w:r>
      <w:r w:rsidR="009F23A0" w:rsidRPr="00B0619B">
        <w:rPr>
          <w:color w:val="F79646" w:themeColor="accent6"/>
        </w:rPr>
        <w:t xml:space="preserve">hom each speaker was talking </w:t>
      </w:r>
      <w:r w:rsidRPr="00B0619B">
        <w:rPr>
          <w:color w:val="F79646" w:themeColor="accent6"/>
        </w:rPr>
        <w:t xml:space="preserve">for each utterance; utterances were only considered directed to the target </w:t>
      </w:r>
      <w:r w:rsidRPr="00B0619B">
        <w:rPr>
          <w:color w:val="F79646" w:themeColor="accent6"/>
        </w:rPr>
        <w:lastRenderedPageBreak/>
        <w:t>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B0619B">
        <w:rPr>
          <w:color w:val="F79646" w:themeColor="accent6"/>
        </w:rPr>
        <w:t>Note that all transcription</w:t>
      </w:r>
      <w:r>
        <w:t xml:space="preserve">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w:t>
      </w:r>
      <w:r w:rsidRPr="00B0619B">
        <w:rPr>
          <w:color w:val="F79646" w:themeColor="accent6"/>
        </w:rPr>
        <w:t>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Detailed manuals and self-guided training materials, including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development, we map a coarse trajectory of children's use of babble, first words, and multi-word utterances. </w:t>
      </w:r>
      <w:r w:rsidRPr="00B0619B">
        <w:rPr>
          <w:color w:val="F79646" w:themeColor="accent6"/>
        </w:rPr>
        <w:t>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8" w:name="statistical-models"/>
      <w:bookmarkEnd w:id="8"/>
      <w:r>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w:t>
      </w:r>
      <w:r w:rsidR="00DC1CC5">
        <w:t>—</w:t>
      </w:r>
      <w:r>
        <w:t>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9" w:name="results"/>
      <w:bookmarkEnd w:id="9"/>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10" w:name="target-child-directed-speech-tcds"/>
      <w:bookmarkEnd w:id="10"/>
      <w:r>
        <w:t>Target-child-directed speech (TCDS)</w:t>
      </w:r>
    </w:p>
    <w:p w14:paraId="0111329A" w14:textId="673F752D" w:rsidR="00222A87"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annotation, and analysis in a Tseltal </w:t>
      </w:r>
      <w:r w:rsidRPr="00B0619B">
        <w:rPr>
          <w:color w:val="F79646" w:themeColor="accent6"/>
        </w:rPr>
        <w:t>Mayan</w:t>
      </w:r>
      <w:r>
        <w:t xml:space="preserve"> community (3.6 minutes per hour for children under 3;0; Casillas et al.</w:t>
      </w:r>
      <w:r w:rsidR="00BB7FCB">
        <w:t xml:space="preserve">, </w:t>
      </w:r>
      <w:r>
        <w:t xml:space="preserve">2019) and comparable to what has been reported using a similar method in a Tsimane' community </w:t>
      </w:r>
      <w:r w:rsidRPr="00B0619B">
        <w:rPr>
          <w:color w:val="F79646" w:themeColor="accent6"/>
        </w:rPr>
        <w:t>in the Bolivian lowlands</w:t>
      </w:r>
      <w:r>
        <w:t xml:space="preserve"> (1.6</w:t>
      </w:r>
      <w:r w:rsidR="00DC1CC5">
        <w:t>–</w:t>
      </w:r>
      <w:r>
        <w:t>4.8 minutes per hour for children under 3;0 depending on what speech is counted; Scaff et al., in preparation).</w:t>
      </w:r>
    </w:p>
    <w:p w14:paraId="0BCEF180" w14:textId="4EE78CDB" w:rsidR="00222A87" w:rsidRDefault="00D133E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w:t>
      </w:r>
      <w:r w:rsidRPr="00B0619B">
        <w:rPr>
          <w:color w:val="F79646" w:themeColor="accent6"/>
        </w:rPr>
        <w:t>Secondly, overall, all children</w:t>
      </w:r>
      <w:r>
        <w:t xml:space="preserve">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Children heard TCDS from a variety of different speakers. Most TCDS came from adults (mean = 72.65%, median = 75.51%, range = 41.41</w:t>
      </w:r>
      <w:r w:rsidR="00DC1CC5">
        <w:t>–</w:t>
      </w:r>
      <w:r>
        <w:t xml:space="preserve">100%). On average, 82.35% of the total TCDS minutes from adults came from women. </w:t>
      </w:r>
      <w:r w:rsidRPr="00B0619B">
        <w:rPr>
          <w:color w:val="F79646" w:themeColor="accent6"/>
        </w:rPr>
        <w:t xml:space="preserve">However, older target children were more likely </w:t>
      </w:r>
      <w:r w:rsidRPr="00B0619B">
        <w:rPr>
          <w:color w:val="F79646" w:themeColor="accent6"/>
        </w:rPr>
        <w:lastRenderedPageBreak/>
        <w:t>to hear TCDS from other child speakers than younger target children</w:t>
      </w:r>
      <w:r>
        <w:t xml:space="preserve"> (e.g., </w:t>
      </w:r>
      <w:r w:rsidRPr="00B0619B">
        <w:rPr>
          <w:color w:val="F79646" w:themeColor="accent6"/>
        </w:rPr>
        <w:t>TCDS</w:t>
      </w:r>
      <w:r>
        <w:t xml:space="preserve"> from siblings, cousins, or neighbors; </w:t>
      </w:r>
      <w:r w:rsidRPr="00B0619B">
        <w:rPr>
          <w:color w:val="F79646" w:themeColor="accent6"/>
        </w:rPr>
        <w:t>Child</w:t>
      </w:r>
      <w:r>
        <w:t xml:space="preserve">-TCDS); a Spearman's correlation showed a significant positive relationship between the average proportion of </w:t>
      </w:r>
      <w:r w:rsidRPr="00B0619B">
        <w:rPr>
          <w:color w:val="F79646" w:themeColor="accent6"/>
        </w:rPr>
        <w:t>Child</w:t>
      </w:r>
      <w:r>
        <w:t xml:space="preserve">-TCDS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1" w:name="other-directed-speech-ods"/>
      <w:bookmarkEnd w:id="11"/>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whom were adults. Comparing again to Tseltal </w:t>
      </w:r>
      <w:r w:rsidRPr="00B0619B">
        <w:rPr>
          <w:color w:val="F79646" w:themeColor="accent6"/>
        </w:rPr>
        <w:t>Mayan and to</w:t>
      </w:r>
      <w:r>
        <w:t xml:space="preserve">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2" w:name="tcds-and-ods-during-interactional-peaks"/>
      <w:bookmarkEnd w:id="12"/>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B0619B">
        <w:rPr>
          <w:color w:val="F79646" w:themeColor="accent6"/>
        </w:rPr>
        <w:t>Unsurprisingly, the</w:t>
      </w:r>
      <w:r>
        <w:t xml:space="preserve"> children heard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19.59; range = 6.68</w:t>
      </w:r>
      <w:r w:rsidR="00DC1CC5">
        <w:t>–</w:t>
      </w:r>
      <w:r>
        <w:t xml:space="preserve">60.18). </w:t>
      </w:r>
      <w:r w:rsidRPr="00B0619B">
        <w:rPr>
          <w:color w:val="F79646" w:themeColor="accent6"/>
        </w:rPr>
        <w:t>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w:t>
      </w:r>
      <w:r>
        <w:lastRenderedPageBreak/>
        <w:t xml:space="preserve">significantly higher in the afternoon than at midday (midday-vs-afternoon: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B0619B">
        <w:rPr>
          <w:color w:val="F79646" w:themeColor="accent6"/>
        </w:rPr>
        <w:t>During these interactional peaks, a</w:t>
      </w:r>
      <w:r w:rsidR="00D133E5">
        <w:t xml:space="preserve">s in the random sample, </w:t>
      </w:r>
      <w:r w:rsidR="00D133E5" w:rsidRPr="00B0619B">
        <w:rPr>
          <w:color w:val="F79646" w:themeColor="accent6"/>
        </w:rPr>
        <w:t>older target children heard more Child-TCDS than younger targe</w:t>
      </w:r>
      <w:r w:rsidR="00B0619B" w:rsidRPr="00B0619B">
        <w:rPr>
          <w:color w:val="F79646" w:themeColor="accent6"/>
        </w:rPr>
        <w:t>t</w:t>
      </w:r>
      <w:r w:rsidR="00D133E5" w:rsidRPr="00B0619B">
        <w:rPr>
          <w:color w:val="F79646" w:themeColor="accent6"/>
        </w:rPr>
        <w:t xml:space="preserve"> children</w:t>
      </w:r>
      <w:r w:rsidR="00D133E5">
        <w:t>. While, overall, more of the TCDS in interactional peaks came from adults than in the random clips (mean = 82.68%, median = 88.04%, range = 50</w:t>
      </w:r>
      <w:r w:rsidR="00DC1CC5">
        <w:t>–</w:t>
      </w:r>
      <w:r w:rsidR="00D133E5">
        <w:t xml:space="preserve">100%), a Spearman's correlation showed an even stronger positive relationship between the average proportion of </w:t>
      </w:r>
      <w:r w:rsidR="007221D9" w:rsidRPr="00593B2D">
        <w:rPr>
          <w:color w:val="F79646" w:themeColor="accent6"/>
        </w:rPr>
        <w:t>C</w:t>
      </w:r>
      <w:r w:rsidR="00D133E5" w:rsidRPr="00593B2D">
        <w:rPr>
          <w:color w:val="F79646" w:themeColor="accent6"/>
        </w:rPr>
        <w:t>hild</w:t>
      </w:r>
      <w:r w:rsidR="007221D9" w:rsidRPr="00593B2D">
        <w:rPr>
          <w:color w:val="F79646" w:themeColor="accent6"/>
        </w:rPr>
        <w:t>-T</w:t>
      </w:r>
      <w:r w:rsidR="00D133E5" w:rsidRPr="00593B2D">
        <w:rPr>
          <w:color w:val="F79646" w:themeColor="accent6"/>
        </w:rPr>
        <w:t>CDS</w:t>
      </w:r>
      <w:r w:rsidR="00D133E5" w:rsidRPr="003E5BC7">
        <w:rPr>
          <w:b/>
        </w:rPr>
        <w:t xml:space="preserve"> </w:t>
      </w:r>
      <w:r w:rsidR="00D133E5">
        <w:t xml:space="preserve">in a clip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w:t>
      </w:r>
      <w:r>
        <w:lastRenderedPageBreak/>
        <w:t xml:space="preserve">overhearable speech are most likely to occur during the morning, before most of the household has dispersed for their work activities, similar to other findings from subsistence farming households (Casillas et al., 2019). However, older children are more likely than younger children to </w:t>
      </w:r>
      <w:r w:rsidRPr="00593B2D">
        <w:rPr>
          <w:color w:val="F79646" w:themeColor="accent6"/>
        </w:rPr>
        <w:t>experience</w:t>
      </w:r>
      <w:r>
        <w:t xml:space="preserve"> higher input rates at midday, perhaps due to their increased interactions with other children while adults attend to gardening and domestic tasks. Possibly because of the large number of speakers present, these children were also in the vicinity of </w:t>
      </w:r>
      <w:r w:rsidRPr="00593B2D">
        <w:rPr>
          <w:color w:val="F79646" w:themeColor="accent6"/>
        </w:rPr>
        <w:t xml:space="preserve">a great deal of </w:t>
      </w:r>
      <w:r>
        <w:t>overhearable speech, underscoring the availability of other-addressed speech as a resource for linguistic input in this context.</w:t>
      </w:r>
    </w:p>
    <w:p w14:paraId="32AFF530" w14:textId="77777777" w:rsidR="00222A87" w:rsidRDefault="00D133E5">
      <w:pPr>
        <w:pStyle w:val="Heading2"/>
      </w:pPr>
      <w:bookmarkStart w:id="13" w:name="vocal-maturity"/>
      <w:bookmarkEnd w:id="13"/>
      <w:r>
        <w:t>Vocal maturity</w:t>
      </w:r>
    </w:p>
    <w:p w14:paraId="235E032C" w14:textId="77777777" w:rsidR="00222A87" w:rsidRDefault="00D133E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8A0254">
        <w:t xml:space="preserve">, </w:t>
      </w:r>
      <w:r w:rsidR="009F76DC" w:rsidRPr="00593B2D">
        <w:rPr>
          <w:color w:val="F79646" w:themeColor="accent6"/>
        </w:rPr>
        <w:t xml:space="preserve">peaking before </w:t>
      </w:r>
      <w:r w:rsidRPr="00593B2D">
        <w:rPr>
          <w:color w:val="F79646" w:themeColor="accent6"/>
        </w:rPr>
        <w:t>first words appear</w:t>
      </w:r>
      <w:r w:rsidR="00F5446D" w:rsidRPr="00593B2D">
        <w:rPr>
          <w:color w:val="F79646" w:themeColor="accent6"/>
        </w:rPr>
        <w:t xml:space="preserve">, </w:t>
      </w:r>
      <w:r w:rsidRPr="00593B2D">
        <w:rPr>
          <w:color w:val="F79646" w:themeColor="accent6"/>
        </w:rPr>
        <w:t>around the first birthday</w:t>
      </w:r>
      <w:r>
        <w:t xml:space="preserve">, and multi-word utterances appear a few months after that (Frank et al., in preparation; P. K. Kuhl, 2004; Pine &amp; Lieven, 1993; Slobin, 1970; Tomasello &amp; Brooks, 1999; Warlaumont, Richards, Gilkerson, &amp; Oller, </w:t>
      </w:r>
      <w:r>
        <w:lastRenderedPageBreak/>
        <w:t xml:space="preserve">2014). Rossel children also far exceeded the </w:t>
      </w:r>
      <w:r w:rsidRPr="00593B2D">
        <w:rPr>
          <w:color w:val="F79646" w:themeColor="accent6"/>
        </w:rPr>
        <w:t>minimal</w:t>
      </w:r>
      <w:r>
        <w:t xml:space="preserve"> canonical babbling ratio (CBR) associated with major developmental delay (proportional use of speech-like vocalizations &gt; 0.15 by 0;10; Oller, Eilers, Basinger, Steffens, &amp; Urbano, 1995); the minimum CBR among Rossel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4" w:name="disc"/>
      <w:bookmarkEnd w:id="14"/>
      <w:r>
        <w:t>Discussion</w:t>
      </w:r>
    </w:p>
    <w:p w14:paraId="2D9B17C2" w14:textId="77777777" w:rsidR="00222A87" w:rsidRDefault="00D133E5">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t>
      </w:r>
      <w:r w:rsidRPr="00593B2D">
        <w:rPr>
          <w:color w:val="F79646" w:themeColor="accent6"/>
        </w:rPr>
        <w:t>We then additionally conducted a preliminary investigation into</w:t>
      </w:r>
      <w:r>
        <w:t xml:space="preserve"> (d) whether this (relatively) low rate of directed input appears to impact their early production milestones.</w:t>
      </w:r>
    </w:p>
    <w:p w14:paraId="31EB3B8E" w14:textId="77777777" w:rsidR="00222A87" w:rsidRPr="00593B2D" w:rsidRDefault="00D133E5">
      <w:pPr>
        <w:pStyle w:val="BodyText"/>
        <w:rPr>
          <w:color w:val="F79646" w:themeColor="accent6"/>
        </w:rPr>
      </w:pPr>
      <w:r w:rsidRPr="00593B2D">
        <w:rPr>
          <w:color w:val="F79646" w:themeColor="accent6"/>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593B2D">
        <w:rPr>
          <w:i/>
          <w:color w:val="F79646" w:themeColor="accent6"/>
        </w:rPr>
        <w:t>who</w:t>
      </w:r>
      <w:r w:rsidRPr="00593B2D">
        <w:rPr>
          <w:color w:val="F79646" w:themeColor="accent6"/>
        </w:rPr>
        <w:t xml:space="preserve"> speaks to the target child, not in overall rates of linguistic input.</w:t>
      </w:r>
    </w:p>
    <w:p w14:paraId="28587467" w14:textId="77777777" w:rsidR="00222A87" w:rsidRPr="00593B2D" w:rsidRDefault="00D133E5">
      <w:pPr>
        <w:pStyle w:val="Heading2"/>
        <w:rPr>
          <w:color w:val="F79646" w:themeColor="accent6"/>
        </w:rPr>
      </w:pPr>
      <w:bookmarkStart w:id="15" w:name="input-rate-similarities-across-subsisten"/>
      <w:bookmarkEnd w:id="15"/>
      <w:r w:rsidRPr="00593B2D">
        <w:rPr>
          <w:color w:val="F79646" w:themeColor="accent6"/>
        </w:rPr>
        <w:t>Input rate similarities across subsistence farming communities</w:t>
      </w:r>
    </w:p>
    <w:p w14:paraId="647667A3" w14:textId="77777777" w:rsidR="00222A87" w:rsidRPr="00593B2D" w:rsidRDefault="00D133E5">
      <w:pPr>
        <w:pStyle w:val="FirstParagraph"/>
        <w:rPr>
          <w:color w:val="F79646" w:themeColor="accent6"/>
        </w:rPr>
      </w:pPr>
      <w:r>
        <w:t xml:space="preserve">Based on prior ethnographic work, we </w:t>
      </w:r>
      <w:r w:rsidRPr="00593B2D">
        <w:rPr>
          <w:color w:val="F79646" w:themeColor="accent6"/>
        </w:rPr>
        <w:t xml:space="preserve">hypothesized </w:t>
      </w:r>
      <w:r>
        <w:t xml:space="preserve">that </w:t>
      </w:r>
      <w:r w:rsidRPr="00593B2D">
        <w:rPr>
          <w:color w:val="F79646" w:themeColor="accent6"/>
        </w:rPr>
        <w:t>Rossel</w:t>
      </w:r>
      <w:r>
        <w:t xml:space="preserve"> children would hear frequent child-directed speech (Brown &amp; Casillas, in press). In fact, </w:t>
      </w:r>
      <w:r w:rsidRPr="00593B2D">
        <w:rPr>
          <w:color w:val="F79646" w:themeColor="accent6"/>
        </w:rPr>
        <w:t>Rossel</w:t>
      </w:r>
      <w:r>
        <w:t xml:space="preserve"> children were rarely directly addressed </w:t>
      </w:r>
      <w:r w:rsidRPr="00593B2D">
        <w:rPr>
          <w:color w:val="F79646" w:themeColor="accent6"/>
        </w:rPr>
        <w:t>over the course of the day. We found a baseline rate of TCDS</w:t>
      </w:r>
      <w:r>
        <w:t xml:space="preserve"> comparable to that found in a Tseltal Mayan community where </w:t>
      </w:r>
      <w:r w:rsidRPr="00593B2D">
        <w:rPr>
          <w:color w:val="F79646" w:themeColor="accent6"/>
        </w:rPr>
        <w:t>infrequent use of</w:t>
      </w:r>
      <w:r>
        <w:t xml:space="preserve"> TCDS is one means </w:t>
      </w:r>
      <w:r w:rsidRPr="00593B2D">
        <w:rPr>
          <w:color w:val="F79646" w:themeColor="accent6"/>
        </w:rPr>
        <w:t>of</w:t>
      </w:r>
      <w:r>
        <w:t xml:space="preserve"> socializing children into attending to their surroundings </w:t>
      </w:r>
      <w:r w:rsidRPr="00593B2D">
        <w:rPr>
          <w:color w:val="F79646" w:themeColor="accent6"/>
        </w:rPr>
        <w:t>(Rossel: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w:t>
      </w:r>
      <w:r w:rsidR="00DC1CC5" w:rsidRPr="00593B2D">
        <w:rPr>
          <w:color w:val="F79646" w:themeColor="accent6"/>
        </w:rPr>
        <w:t>—</w:t>
      </w:r>
      <w:r w:rsidRPr="00593B2D">
        <w:rPr>
          <w:color w:val="F79646" w:themeColor="accent6"/>
        </w:rPr>
        <w:t>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 R. A. LeVine et al. (1996); Ochs (1988); Schieffelin (1990); see Gaskins (2006) for a review).</w:t>
      </w:r>
    </w:p>
    <w:p w14:paraId="2D72B859" w14:textId="77777777" w:rsidR="00222A87" w:rsidRPr="00593B2D" w:rsidRDefault="00D133E5">
      <w:pPr>
        <w:pStyle w:val="BodyText"/>
        <w:rPr>
          <w:color w:val="F79646" w:themeColor="accent6"/>
        </w:rPr>
      </w:pPr>
      <w:r w:rsidRPr="00593B2D">
        <w:rPr>
          <w:color w:val="F79646" w:themeColor="accent6"/>
        </w:rPr>
        <w:t>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51709E5" w14:textId="77777777" w:rsidR="00222A87" w:rsidRPr="00593B2D" w:rsidRDefault="00D133E5">
      <w:pPr>
        <w:pStyle w:val="Heading2"/>
        <w:rPr>
          <w:color w:val="F79646" w:themeColor="accent6"/>
        </w:rPr>
      </w:pPr>
      <w:bookmarkStart w:id="16" w:name="input-source-differences-across-subsiste"/>
      <w:bookmarkEnd w:id="16"/>
      <w:r w:rsidRPr="00593B2D">
        <w:rPr>
          <w:color w:val="F79646" w:themeColor="accent6"/>
        </w:rPr>
        <w:t>Input source differences across subsistence farming communities</w:t>
      </w:r>
    </w:p>
    <w:p w14:paraId="7FE36EAE" w14:textId="77777777" w:rsidR="00222A87" w:rsidRPr="00593B2D" w:rsidRDefault="00D133E5">
      <w:pPr>
        <w:pStyle w:val="FirstParagraph"/>
        <w:rPr>
          <w:color w:val="F79646" w:themeColor="accent6"/>
        </w:rPr>
      </w:pPr>
      <w:r w:rsidRPr="00593B2D">
        <w:rPr>
          <w:color w:val="F79646" w:themeColor="accent6"/>
        </w:rPr>
        <w:t>One distinctive feature of the Rossel data that was not observed for Tseltal is the division of TCDS among women, men, and other children. On Rossel Island, all of these types of speakers attend to the care of young children (Brown &amp; Casillas, in press).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sidRPr="00593B2D">
        <w:rPr>
          <w:rStyle w:val="FootnoteReference"/>
          <w:color w:val="F79646" w:themeColor="accent6"/>
        </w:rPr>
        <w:footnoteReference w:id="3"/>
      </w:r>
      <w:r w:rsidRPr="00593B2D">
        <w:rPr>
          <w:color w:val="F79646" w:themeColor="accent6"/>
        </w:rPr>
        <w:t xml:space="preserve"> We take this substantial proportion of TCDS from children and men as evidence that caregiving is indeed divided among many types of speakers in Rossel communities (Brown &amp; Casillas, in press);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14:paraId="5319F6E8" w14:textId="77777777" w:rsidR="00222A87" w:rsidRDefault="00D133E5">
      <w:pPr>
        <w:pStyle w:val="BodyText"/>
      </w:pPr>
      <w:r w:rsidRPr="00593B2D">
        <w:rPr>
          <w:color w:val="F79646" w:themeColor="accent6"/>
        </w:rPr>
        <w:t>The age-related</w:t>
      </w:r>
      <w:r>
        <w:t xml:space="preserve"> increase in TCDS from other children recalls findings from Shneidman and Goldin-Meadow (2012; see also Brown, 2011 &amp; Brown &amp; Casillas, in press) in which Yucatec Mayan children's directed speech rate increased enormously between ages one and three</w:t>
      </w:r>
      <w:r w:rsidR="00DC1CC5">
        <w:rPr>
          <w:b/>
        </w:rPr>
        <w:t>—</w:t>
      </w:r>
      <w:r w:rsidRPr="00593B2D">
        <w:rPr>
          <w:color w:val="F79646" w:themeColor="accent6"/>
        </w:rPr>
        <w:t>much more than the increase observed in these Rossel children's recordings</w:t>
      </w:r>
      <w:r w:rsidR="00DC1CC5">
        <w:rPr>
          <w:b/>
        </w:rPr>
        <w:t>—</w:t>
      </w:r>
      <w:r>
        <w:t>primarily due to increased input from other children</w:t>
      </w:r>
      <w:r w:rsidRPr="00377861">
        <w:t>.</w:t>
      </w:r>
      <w:r>
        <w:t xml:space="preserve"> Interestingly, </w:t>
      </w:r>
      <w:r w:rsidRPr="00593B2D">
        <w:rPr>
          <w:color w:val="F79646" w:themeColor="accent6"/>
        </w:rPr>
        <w:t xml:space="preserve">data from the Tseltal </w:t>
      </w:r>
      <w:r>
        <w:t xml:space="preserve">community, which is </w:t>
      </w:r>
      <w:r w:rsidRPr="00593B2D">
        <w:rPr>
          <w:color w:val="F79646" w:themeColor="accent6"/>
        </w:rPr>
        <w:t>from the same Mayan cultural milieu as</w:t>
      </w:r>
      <w:r>
        <w:t xml:space="preserve"> the Yucatec families studied in Shneidman and Goldin-Meadow (2012)</w:t>
      </w:r>
      <w:r w:rsidRPr="00593B2D">
        <w:rPr>
          <w:color w:val="F79646" w:themeColor="accent6"/>
        </w:rPr>
        <w:t xml:space="preserve">, show </w:t>
      </w:r>
      <w:r>
        <w:t>no evidence for increased input from other children in this same age range (0;0</w:t>
      </w:r>
      <w:r w:rsidR="00DC1CC5">
        <w:t>–</w:t>
      </w:r>
      <w:r>
        <w:t>3;0; Casillas et al., 2019)</w:t>
      </w:r>
      <w:r w:rsidRPr="00593B2D">
        <w:rPr>
          <w:color w:val="F79646" w:themeColor="accent6"/>
        </w:rPr>
        <w:t xml:space="preserve">, possibly because Tseltal children only begin </w:t>
      </w:r>
      <w:r>
        <w:t xml:space="preserve">to </w:t>
      </w:r>
      <w:r w:rsidRPr="00593B2D">
        <w:rPr>
          <w:color w:val="F79646" w:themeColor="accent6"/>
        </w:rPr>
        <w:t xml:space="preserve">more fully </w:t>
      </w:r>
      <w:r>
        <w:t xml:space="preserve">engage in independent, extended play with other children </w:t>
      </w:r>
      <w:r>
        <w:rPr>
          <w:i/>
        </w:rPr>
        <w:t>after</w:t>
      </w:r>
      <w:r>
        <w:t xml:space="preserve"> age three. In </w:t>
      </w:r>
      <w:r w:rsidRPr="00593B2D">
        <w:rPr>
          <w:color w:val="F79646" w:themeColor="accent6"/>
        </w:rPr>
        <w:t xml:space="preserve">contrast, </w:t>
      </w:r>
      <w:r>
        <w:t xml:space="preserve">independence </w:t>
      </w:r>
      <w:r w:rsidRPr="00593B2D">
        <w:rPr>
          <w:color w:val="F79646" w:themeColor="accent6"/>
        </w:rPr>
        <w:t>is</w:t>
      </w:r>
      <w:r>
        <w:t xml:space="preserve"> a primary concern for caregivers of young children </w:t>
      </w:r>
      <w:r w:rsidRPr="00593B2D">
        <w:rPr>
          <w:color w:val="F79646" w:themeColor="accent6"/>
        </w:rPr>
        <w:t>on Rossel Island</w:t>
      </w:r>
      <w:r>
        <w:t xml:space="preserve">; from early toddlerhood Rossel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w:t>
      </w:r>
      <w:r w:rsidRPr="00593B2D">
        <w:rPr>
          <w:color w:val="F79646" w:themeColor="accent6"/>
        </w:rPr>
        <w:t xml:space="preserve">time-of-day and interactant </w:t>
      </w:r>
      <w:r>
        <w:t>effects found here with ethnographic interview data are needed to explore these ideas in full</w:t>
      </w:r>
      <w:r w:rsidRPr="00377861">
        <w:t>.</w:t>
      </w:r>
    </w:p>
    <w:p w14:paraId="2621F920" w14:textId="77777777" w:rsidR="00222A87" w:rsidRPr="00593B2D" w:rsidRDefault="00D133E5">
      <w:pPr>
        <w:pStyle w:val="Heading2"/>
        <w:rPr>
          <w:color w:val="F79646" w:themeColor="accent6"/>
        </w:rPr>
      </w:pPr>
      <w:bookmarkStart w:id="17" w:name="replicating-daylong-language-environment"/>
      <w:bookmarkEnd w:id="17"/>
      <w:r w:rsidRPr="00593B2D">
        <w:rPr>
          <w:color w:val="F79646" w:themeColor="accent6"/>
        </w:rPr>
        <w:t>Replicating daylong language environment patterns</w:t>
      </w:r>
    </w:p>
    <w:p w14:paraId="005F081C" w14:textId="77777777" w:rsidR="00222A87" w:rsidRPr="00593B2D" w:rsidRDefault="00D133E5">
      <w:pPr>
        <w:pStyle w:val="FirstParagraph"/>
        <w:rPr>
          <w:color w:val="F79646" w:themeColor="accent6"/>
        </w:rPr>
      </w:pPr>
      <w:r w:rsidRPr="00593B2D">
        <w:rPr>
          <w:color w:val="F79646" w:themeColor="accent6"/>
        </w:rPr>
        <w:t>Prior work using daylong audio recordings in both Western and non-Western contexts</w:t>
      </w:r>
      <w:r>
        <w:t xml:space="preserve"> led us to expect that the quantity of TCDS would be </w:t>
      </w:r>
      <w:r w:rsidRPr="00593B2D">
        <w:rPr>
          <w:color w:val="F79646" w:themeColor="accent6"/>
        </w:rPr>
        <w:t>relatively stable</w:t>
      </w:r>
      <w:r>
        <w:t xml:space="preserve"> across the age range studied</w:t>
      </w:r>
      <w:r>
        <w:rPr>
          <w:b/>
        </w:rPr>
        <w:t xml:space="preserve">, </w:t>
      </w:r>
      <w:r w:rsidRPr="00593B2D">
        <w:rPr>
          <w:color w:val="F79646" w:themeColor="accent6"/>
        </w:rPr>
        <w:t>that ODS rate would decrease with age, and that TCDS would be non-uniformly distributed over the recording day (Abney et al., 2017; Bergelson et al., 2019b; Casillas et al., 2019; Scaff et al., in preparation).</w:t>
      </w:r>
      <w:r>
        <w:rPr>
          <w:b/>
        </w:rPr>
        <w:t xml:space="preserve"> </w:t>
      </w:r>
      <w:r>
        <w:t xml:space="preserve">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w:t>
      </w:r>
      <w:r w:rsidRPr="00593B2D">
        <w:rPr>
          <w:color w:val="F79646" w:themeColor="accent6"/>
        </w:rPr>
        <w:t>also</w:t>
      </w:r>
      <w:r>
        <w:t xml:space="preserve">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w:t>
      </w:r>
      <w:r w:rsidRPr="00593B2D">
        <w:rPr>
          <w:color w:val="F79646" w:themeColor="accent6"/>
        </w:rPr>
        <w:t xml:space="preserve">Finally, consistent with prior daylong language environment analyses, </w:t>
      </w:r>
      <w:r>
        <w:t>ODS rate decreased with age</w:t>
      </w:r>
      <w:r w:rsidRPr="00593B2D">
        <w:rPr>
          <w:color w:val="F79646" w:themeColor="accent6"/>
        </w:rPr>
        <w:t>, and the random and turn-taking clips across the day revealed substantial fluctuations in TCDS rate (Abney et al., 2017; Bergelson et al., 2019b; Casillas et al., 2019; Scaff et al., in preparation).</w:t>
      </w:r>
    </w:p>
    <w:p w14:paraId="58C6D896" w14:textId="2A8484E7" w:rsidR="00222A87" w:rsidRDefault="00D133E5">
      <w:pPr>
        <w:pStyle w:val="BodyText"/>
      </w:pPr>
      <w:r w:rsidRPr="00593B2D">
        <w:rPr>
          <w:color w:val="F79646" w:themeColor="accent6"/>
        </w:rPr>
        <w:t xml:space="preserve">One implication of our findings is that TCDS rate estimates from daylong data do not directly distinguish </w:t>
      </w:r>
      <w:r>
        <w:t>distinct caregiver attitudes toward talking to young children. While Rossel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sidRPr="00593B2D">
        <w:rPr>
          <w:color w:val="F79646" w:themeColor="accent6"/>
        </w:rPr>
        <w:t>. Rather,</w:t>
      </w:r>
      <w:r>
        <w:t xml:space="preserve"> we suspect that caregiver attitudes about how to engage children in interaction are </w:t>
      </w:r>
      <w:r w:rsidRPr="00593B2D">
        <w:rPr>
          <w:color w:val="F79646" w:themeColor="accent6"/>
        </w:rPr>
        <w:t>more</w:t>
      </w:r>
      <w:r>
        <w:t xml:space="preserve"> clearly expressed </w:t>
      </w:r>
      <w:r w:rsidRPr="00593B2D">
        <w:rPr>
          <w:color w:val="F79646" w:themeColor="accent6"/>
        </w:rPr>
        <w:t>during interactional peaks and, even then, via behaviors more nuanced than what can be captured by input quantity measures alone. In the case of Rossel Island, we saw</w:t>
      </w:r>
      <w:r>
        <w:t xml:space="preserve"> not only more TCDS but also TCDS from more diverse speaker types </w:t>
      </w:r>
      <w:r w:rsidRPr="00593B2D">
        <w:rPr>
          <w:color w:val="F79646" w:themeColor="accent6"/>
        </w:rPr>
        <w:t xml:space="preserve">during interactional peaks. We suggest, then, that </w:t>
      </w:r>
      <w:r>
        <w:t>the forces shaping the rate of Rossel children’s linguistic input are somewhat different from the forces shaping the content and sources of their linguistic input</w:t>
      </w:r>
      <w:r w:rsidRPr="00593B2D">
        <w:rPr>
          <w:color w:val="F79646" w:themeColor="accent6"/>
        </w:rPr>
        <w:t>. In order to comparatively examine culturally distinct codes of verbal interaction in children's at-home speech environments, future work should focus not only on the rate, b</w:t>
      </w:r>
      <w:r w:rsidR="003A5997" w:rsidRPr="00593B2D">
        <w:rPr>
          <w:color w:val="F79646" w:themeColor="accent6"/>
        </w:rPr>
        <w:t>ut also the sources and content</w:t>
      </w:r>
      <w:r w:rsidRPr="00593B2D">
        <w:rPr>
          <w:color w:val="F79646" w:themeColor="accent6"/>
        </w:rPr>
        <w:t xml:space="preserve"> of the speech children are exposed to, perhaps using strategic subsampling similar to what was implemented in the present study.</w:t>
      </w:r>
    </w:p>
    <w:p w14:paraId="5F6FD818" w14:textId="77777777" w:rsidR="00222A87" w:rsidRPr="00593B2D" w:rsidRDefault="00D133E5">
      <w:pPr>
        <w:pStyle w:val="Heading2"/>
        <w:rPr>
          <w:color w:val="F79646" w:themeColor="accent6"/>
        </w:rPr>
      </w:pPr>
      <w:bookmarkStart w:id="18" w:name="implications-for-theories-of-language-le"/>
      <w:bookmarkEnd w:id="18"/>
      <w:r w:rsidRPr="00593B2D">
        <w:rPr>
          <w:color w:val="F79646" w:themeColor="accent6"/>
        </w:rPr>
        <w:t>Implications for theories of language learning</w:t>
      </w:r>
    </w:p>
    <w:p w14:paraId="60C204A2" w14:textId="5A57B421" w:rsidR="00222A87" w:rsidRPr="00593B2D" w:rsidRDefault="00D133E5">
      <w:pPr>
        <w:pStyle w:val="FirstParagraph"/>
        <w:rPr>
          <w:color w:val="F79646" w:themeColor="accent6"/>
        </w:rPr>
      </w:pPr>
      <w:r w:rsidRPr="00593B2D">
        <w:rPr>
          <w:color w:val="F79646" w:themeColor="accent6"/>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(Frank et al., in preparation; Marchman et al., 2004). In sum, while prior evidence </w:t>
      </w:r>
      <w:r w:rsidR="0060376E" w:rsidRPr="00593B2D">
        <w:rPr>
          <w:color w:val="F79646" w:themeColor="accent6"/>
        </w:rPr>
        <w:t>led</w:t>
      </w:r>
      <w:r w:rsidRPr="00593B2D">
        <w:rPr>
          <w:color w:val="F79646" w:themeColor="accent6"/>
        </w:rPr>
        <w:t xml:space="preserve"> us to expect a stable onset of canonical babble across diverse input contexts, it would not </w:t>
      </w:r>
      <w:r w:rsidR="0060376E" w:rsidRPr="00593B2D">
        <w:rPr>
          <w:color w:val="F79646" w:themeColor="accent6"/>
        </w:rPr>
        <w:t xml:space="preserve">led us </w:t>
      </w:r>
      <w:r w:rsidRPr="00593B2D">
        <w:rPr>
          <w:color w:val="F79646" w:themeColor="accent6"/>
        </w:rPr>
        <w:t>to expect cross-context stability in the onset of early lexical productions</w:t>
      </w:r>
      <w:r w:rsidR="00F02327" w:rsidRPr="00593B2D">
        <w:rPr>
          <w:color w:val="F79646" w:themeColor="accent6"/>
        </w:rPr>
        <w:t>, as found here</w:t>
      </w:r>
      <w:r w:rsidRPr="00593B2D">
        <w:rPr>
          <w:color w:val="F79646" w:themeColor="accent6"/>
        </w:rPr>
        <w:t>.</w:t>
      </w:r>
    </w:p>
    <w:p w14:paraId="0E38949E" w14:textId="20BB80A9" w:rsidR="00222A87" w:rsidRPr="00593B2D" w:rsidRDefault="00D133E5">
      <w:pPr>
        <w:pStyle w:val="BodyText"/>
        <w:rPr>
          <w:color w:val="F79646" w:themeColor="accent6"/>
        </w:rPr>
      </w:pPr>
      <w:r w:rsidRPr="00593B2D">
        <w:rPr>
          <w:color w:val="F79646" w:themeColor="accent6"/>
        </w:rPr>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593B2D">
        <w:rPr>
          <w:color w:val="F79646" w:themeColor="accent6"/>
        </w:rPr>
        <w:t xml:space="preserve"> for Tseltal children</w:t>
      </w:r>
      <w:r w:rsidRPr="00593B2D">
        <w:rPr>
          <w:color w:val="F79646" w:themeColor="accent6"/>
        </w:rPr>
        <w:t>, which are not mutually exclusive, may also apply in the case of Rossel</w:t>
      </w:r>
      <w:r w:rsidR="00F02327" w:rsidRPr="00593B2D">
        <w:rPr>
          <w:color w:val="F79646" w:themeColor="accent6"/>
        </w:rPr>
        <w:t xml:space="preserve"> </w:t>
      </w:r>
      <w:r w:rsidRPr="00593B2D">
        <w:rPr>
          <w:color w:val="F79646" w:themeColor="accent6"/>
        </w:rPr>
        <w:t>children, considering that the overall characteristics of their linguistic environments are not dissimilar.</w:t>
      </w:r>
    </w:p>
    <w:p w14:paraId="2BAA3C1A" w14:textId="54EE51F8" w:rsidR="00222A87" w:rsidRPr="00593B2D" w:rsidRDefault="00D133E5">
      <w:pPr>
        <w:pStyle w:val="BodyText"/>
        <w:rPr>
          <w:color w:val="F79646" w:themeColor="accent6"/>
        </w:rPr>
      </w:pPr>
      <w:r w:rsidRPr="00593B2D">
        <w:rPr>
          <w:color w:val="F79646" w:themeColor="accent6"/>
        </w:rPr>
        <w:t>Mechanisms for language learning that efficiently capitalize on sparse bursts of CDS and/or overhearable speech (e.g., massed learning, as in Schwab &amp; Lew-Williams (2016); or attention to others' talk, as in Akhtar (2005)</w:t>
      </w:r>
      <w:r w:rsidR="007D2E32" w:rsidRPr="00593B2D">
        <w:rPr>
          <w:color w:val="F79646" w:themeColor="accent6"/>
        </w:rPr>
        <w:t xml:space="preserve"> and</w:t>
      </w:r>
      <w:r w:rsidRPr="00593B2D">
        <w:rPr>
          <w:color w:val="F79646" w:themeColor="accent6"/>
        </w:rPr>
        <w:t xml:space="preserve"> Shneidman, Arroyo, Levine, &amp; Goldin-Meadow (2012))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in preparation; Shneidman &amp; Goldin-Meadow, 2012; Vogt, Mastin, &amp; Schots, 2015).</w:t>
      </w:r>
    </w:p>
    <w:p w14:paraId="3CD08EF5" w14:textId="77777777" w:rsidR="00222A87" w:rsidRPr="00593B2D" w:rsidRDefault="00D133E5">
      <w:pPr>
        <w:pStyle w:val="Heading2"/>
        <w:rPr>
          <w:color w:val="F79646" w:themeColor="accent6"/>
        </w:rPr>
      </w:pPr>
      <w:bookmarkStart w:id="19" w:name="limitations"/>
      <w:bookmarkEnd w:id="19"/>
      <w:r w:rsidRPr="00593B2D">
        <w:rPr>
          <w:color w:val="F79646" w:themeColor="accent6"/>
        </w:rPr>
        <w:t>Limitations</w:t>
      </w:r>
    </w:p>
    <w:p w14:paraId="28091ADB" w14:textId="77777777" w:rsidR="00222A87" w:rsidRPr="00593B2D" w:rsidRDefault="00D133E5">
      <w:pPr>
        <w:pStyle w:val="FirstParagraph"/>
        <w:rPr>
          <w:color w:val="F79646" w:themeColor="accent6"/>
        </w:rPr>
      </w:pPr>
      <w:r w:rsidRPr="00593B2D">
        <w:rPr>
          <w:color w:val="F79646" w:themeColor="accent6"/>
        </w:rPr>
        <w:t>Prior work establishing input-related variation in language development has often focused on the relationship between child vocabulary and input quality measures (e.g., Cartmill et al., 2013; Hirsh-Pasek et al., 2015; Ramírez, Lytle, &amp; Kuhl, 2020; Ramírez-Esparza, García-Sierra, &amp; Kuhl, 2014; Rowe, 2012), neither of which we measure here. Vocabulary development on Rossel Island may well be responsive to the type and quantity of CDS children encounter</w:t>
      </w:r>
      <w:r w:rsidR="00DC1CC5" w:rsidRPr="00593B2D">
        <w:rPr>
          <w:color w:val="F79646" w:themeColor="accent6"/>
        </w:rPr>
        <w:t>—</w:t>
      </w:r>
      <w:r w:rsidRPr="00593B2D">
        <w:rPr>
          <w:color w:val="F79646" w:themeColor="accent6"/>
        </w:rPr>
        <w:t>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20" w:name="disc-conclusion"/>
      <w:bookmarkEnd w:id="20"/>
      <w:r>
        <w:t>Conclusion</w:t>
      </w:r>
    </w:p>
    <w:p w14:paraId="4DD755F6" w14:textId="77777777" w:rsidR="00222A87" w:rsidRPr="00593B2D" w:rsidRDefault="00D133E5">
      <w:pPr>
        <w:pStyle w:val="FirstParagraph"/>
        <w:rPr>
          <w:color w:val="F79646" w:themeColor="accent6"/>
        </w:rPr>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Relyea, Chen, &amp; Oller, 2018; Warlaumont et al., 2014). </w:t>
      </w:r>
      <w:r w:rsidRPr="00593B2D">
        <w:rPr>
          <w:color w:val="F79646" w:themeColor="accent6"/>
        </w:rPr>
        <w:t>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in preparation; Schieffelin, 1990; Shneidman &amp; Goldin-Meadow, 2012).</w:t>
      </w:r>
    </w:p>
    <w:p w14:paraId="59099D60" w14:textId="5A21157B" w:rsidR="00222A87" w:rsidRDefault="00D133E5">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w:t>
      </w:r>
      <w:r w:rsidRPr="00593B2D">
        <w:rPr>
          <w:color w:val="F79646" w:themeColor="accent6"/>
        </w:rPr>
        <w:t>estimates of input rate derived from daylong data are</w:t>
      </w:r>
      <w:r>
        <w:t xml:space="preserve"> far more sensitive to </w:t>
      </w:r>
      <w:r w:rsidRPr="00593B2D">
        <w:rPr>
          <w:color w:val="F79646" w:themeColor="accent6"/>
        </w:rPr>
        <w:t>situational</w:t>
      </w:r>
      <w:r>
        <w:t xml:space="preserve"> variation (e.g., the number of speakers present</w:t>
      </w:r>
      <w:r w:rsidRPr="00593B2D">
        <w:rPr>
          <w:color w:val="F79646" w:themeColor="accent6"/>
        </w:rPr>
        <w:t>, which varies with activity</w:t>
      </w:r>
      <w:r>
        <w:t xml:space="preserve">) than </w:t>
      </w:r>
      <w:r w:rsidRPr="00593B2D">
        <w:rPr>
          <w:color w:val="F79646" w:themeColor="accent6"/>
        </w:rPr>
        <w:t xml:space="preserve">they are </w:t>
      </w:r>
      <w:r>
        <w:t>to established ideological variation in how caregivers talk to children</w:t>
      </w:r>
      <w:r w:rsidRPr="00530F47">
        <w:t>.</w:t>
      </w:r>
      <w:r>
        <w:t xml:space="preserve"> Whether child language development is better predicted by meaningful individual differences in average </w:t>
      </w:r>
      <w:r w:rsidRPr="00593B2D">
        <w:rPr>
          <w:color w:val="F79646" w:themeColor="accent6"/>
        </w:rPr>
        <w:t>situational</w:t>
      </w:r>
      <w:r>
        <w:t xml:space="preserve"> variation </w:t>
      </w:r>
      <w:r w:rsidRPr="00593B2D">
        <w:rPr>
          <w:color w:val="F79646" w:themeColor="accent6"/>
        </w:rPr>
        <w:t>in input rate</w:t>
      </w:r>
      <w:r>
        <w:t xml:space="preserve">, ideologically based variation </w:t>
      </w:r>
      <w:r w:rsidRPr="00593B2D">
        <w:rPr>
          <w:color w:val="F79646" w:themeColor="accent6"/>
        </w:rPr>
        <w:t>in other verbal behaviors</w:t>
      </w:r>
      <w:r>
        <w:t xml:space="preserve"> (e.g., </w:t>
      </w:r>
      <w:r w:rsidRPr="00593B2D">
        <w:rPr>
          <w:color w:val="F79646" w:themeColor="accent6"/>
        </w:rPr>
        <w:t>who talks to the child</w:t>
      </w:r>
      <w:r>
        <w:t>), or something in between</w:t>
      </w:r>
      <w:r w:rsidR="00FE1990">
        <w:t>,</w:t>
      </w:r>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593B2D">
        <w:rPr>
          <w:color w:val="F79646" w:themeColor="accent6"/>
        </w:rPr>
        <w:t>T</w:t>
      </w:r>
      <w:r>
        <w:t xml:space="preserve">he data presented here come from an evolving corpus of Yélî Dnye developmental data; any reader interested in citing descriptive features of the Rossel child language environment </w:t>
      </w:r>
      <w:r w:rsidRPr="00593B2D">
        <w:rPr>
          <w:color w:val="F79646" w:themeColor="accent6"/>
        </w:rPr>
        <w:t>(e.g., TCDS rate) or in replicating or extending these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1" w:name="acknowledgements"/>
      <w:bookmarkEnd w:id="21"/>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2" w:name="refs"/>
      <w:bookmarkEnd w:id="22"/>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3FFBBE1B" w14:textId="77777777" w:rsidR="00222A87" w:rsidRDefault="00D133E5">
      <w:pPr>
        <w:pStyle w:val="BodyText"/>
      </w:pPr>
      <w:r>
        <w:t xml:space="preserve">Akhtar, N. (2005). The robustness of learning through overhearing. </w:t>
      </w:r>
      <w:r>
        <w:rPr>
          <w:i/>
        </w:rPr>
        <w:t>Developmental Science</w:t>
      </w:r>
      <w:r>
        <w:t xml:space="preserve">, </w:t>
      </w:r>
      <w:r>
        <w:rPr>
          <w:i/>
        </w:rPr>
        <w:t>8</w:t>
      </w:r>
      <w:r>
        <w:t>(2), 199–209.</w:t>
      </w:r>
    </w:p>
    <w:p w14:paraId="37B8D71E" w14:textId="77777777" w:rsidR="00222A87" w:rsidRDefault="00D133E5">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13">
        <w:r>
          <w:rPr>
            <w:rStyle w:val="Hyperlink"/>
          </w:rPr>
          <w:t>10.1080/016909697386628</w:t>
        </w:r>
      </w:hyperlink>
    </w:p>
    <w:p w14:paraId="49217469" w14:textId="77777777" w:rsidR="00222A87" w:rsidRDefault="00D133E5">
      <w:pPr>
        <w:pStyle w:val="BodyText"/>
      </w:pPr>
      <w:r>
        <w:t>Bergelson, E., Alphen, P. van, Benneti, L., Bunce, J., Casillas, M., Guez, A., … Cristia, A. (in preparation). Child language environments in &gt;2500 daylong recordings across 5 continents.</w:t>
      </w:r>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14">
        <w:r>
          <w:rPr>
            <w:rStyle w:val="Hyperlink"/>
          </w:rPr>
          <w:t>10.1111/desc.12715</w:t>
        </w:r>
      </w:hyperlink>
    </w:p>
    <w:p w14:paraId="5F07AE48" w14:textId="77777777" w:rsidR="00222A87" w:rsidRDefault="00D133E5">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15">
        <w:r>
          <w:rPr>
            <w:rStyle w:val="Hyperlink"/>
          </w:rPr>
          <w:t>10.1111/desc.12724</w:t>
        </w:r>
      </w:hyperlink>
    </w:p>
    <w:p w14:paraId="44B5F81E" w14:textId="77777777" w:rsidR="00222A87" w:rsidRDefault="00D133E5">
      <w:pPr>
        <w:pStyle w:val="BodyText"/>
      </w:pPr>
      <w:r>
        <w:t xml:space="preserve">Brinchmann, E. I., Braeken, J., &amp; Lyster, S.-A. H. (2019). Is there a direct relation between the development of vocabulary and grammar? </w:t>
      </w:r>
      <w:r>
        <w:rPr>
          <w:i/>
        </w:rPr>
        <w:t>Developmental Science</w:t>
      </w:r>
      <w:r>
        <w:t xml:space="preserve">, </w:t>
      </w:r>
      <w:r>
        <w:rPr>
          <w:i/>
        </w:rPr>
        <w:t>22</w:t>
      </w:r>
      <w:r>
        <w:t>(1), e12709. doi:</w:t>
      </w:r>
      <w:hyperlink r:id="rId16">
        <w:r>
          <w:rPr>
            <w:rStyle w:val="Hyperlink"/>
          </w:rPr>
          <w:t>10.1111/desc.12709</w:t>
        </w:r>
      </w:hyperlink>
    </w:p>
    <w:p w14:paraId="13FC6953" w14:textId="77777777" w:rsidR="00222A87" w:rsidRDefault="00D133E5">
      <w:pPr>
        <w:pStyle w:val="BodyText"/>
      </w:pPr>
      <w:r>
        <w:t xml:space="preserve">Brooks, M. E., Kristensen, K., van Benthem, K. J., Magnusson, A., Berg, C. W., Nielsen, A., … Bolker, B. M. (2017). Modeling zero-inflated count data with glmmTMB. </w:t>
      </w:r>
      <w:r>
        <w:rPr>
          <w:i/>
        </w:rPr>
        <w:t>bioRxiv</w:t>
      </w:r>
      <w:r>
        <w:t>. doi:</w:t>
      </w:r>
      <w:hyperlink r:id="rId17">
        <w:r>
          <w:rPr>
            <w:rStyle w:val="Hyperlink"/>
          </w:rPr>
          <w:t>10.1101/132753</w:t>
        </w:r>
      </w:hyperlink>
    </w:p>
    <w:p w14:paraId="55614122" w14:textId="77777777" w:rsidR="00222A87" w:rsidRDefault="00D133E5">
      <w:pPr>
        <w:pStyle w:val="BodyText"/>
      </w:pPr>
      <w:r>
        <w:t xml:space="preserve">Brown, P. (2011). The cultural organization of attention. In A. Duranti,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73731337" w14:textId="77777777" w:rsidR="00222A87" w:rsidRDefault="00D133E5">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doi:</w:t>
      </w:r>
      <w:hyperlink r:id="rId18">
        <w:r>
          <w:rPr>
            <w:rStyle w:val="Hyperlink"/>
          </w:rPr>
          <w:t>10.1017/CBO9781139342872.010</w:t>
        </w:r>
      </w:hyperlink>
    </w:p>
    <w:p w14:paraId="5EC5403D"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19">
        <w:r>
          <w:rPr>
            <w:rStyle w:val="Hyperlink"/>
          </w:rPr>
          <w:t>10.1073/pnas.1309518110</w:t>
        </w:r>
      </w:hyperlink>
    </w:p>
    <w:p w14:paraId="503E4B69" w14:textId="77777777" w:rsidR="00222A87" w:rsidRDefault="00D133E5">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20">
        <w:r>
          <w:rPr>
            <w:rStyle w:val="Hyperlink"/>
          </w:rPr>
          <w:t>10.1525/collabra.209</w:t>
        </w:r>
      </w:hyperlink>
    </w:p>
    <w:p w14:paraId="00DFE087" w14:textId="77777777" w:rsidR="00222A87" w:rsidRDefault="00D133E5">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27B5454E" w14:textId="77777777" w:rsidR="00222A87" w:rsidRDefault="00D133E5">
      <w:pPr>
        <w:pStyle w:val="BodyText"/>
      </w:pPr>
      <w:r>
        <w:t xml:space="preserve">Casillas, M., Bunce, J., Soderstrom, M., Rosemberg, C., Migdalek, M., Alam, F., … Garrison, H. (2017). Introduction: The ACLEW DAS template [training materials]. Retrieved from </w:t>
      </w:r>
      <w:hyperlink r:id="rId21">
        <w:r>
          <w:rPr>
            <w:rStyle w:val="Hyperlink"/>
          </w:rPr>
          <w:t>https://osf.io/aknjv/</w:t>
        </w:r>
      </w:hyperlink>
    </w:p>
    <w:p w14:paraId="703085E5" w14:textId="77777777" w:rsidR="00222A87" w:rsidRDefault="00D133E5">
      <w:pPr>
        <w:pStyle w:val="BodyText"/>
      </w:pPr>
      <w:r>
        <w:t xml:space="preserve">Chang, F., Dell, G. S., &amp; Bock, K. (2006). Becoming syntactic. </w:t>
      </w:r>
      <w:r>
        <w:rPr>
          <w:i/>
        </w:rPr>
        <w:t>Psychological Review</w:t>
      </w:r>
      <w:r>
        <w:t xml:space="preserve">, </w:t>
      </w:r>
      <w:r>
        <w:rPr>
          <w:i/>
        </w:rPr>
        <w:t>113</w:t>
      </w:r>
      <w:r>
        <w:t>(2), 234.</w:t>
      </w:r>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r>
        <w:t xml:space="preserve">Cristia, A., Dupoux, E., Gurven, M., &amp; Stieglitz, J. (2017). Child-directed speech is infrequent in a forager-farmer population: A time allocation study. </w:t>
      </w:r>
      <w:r>
        <w:rPr>
          <w:i/>
        </w:rPr>
        <w:t>Child Development</w:t>
      </w:r>
      <w:r>
        <w:t xml:space="preserve">, </w:t>
      </w:r>
      <w:r>
        <w:rPr>
          <w:i/>
        </w:rPr>
        <w:t>Early View</w:t>
      </w:r>
      <w:r>
        <w:t>, 1–15. doi:</w:t>
      </w:r>
      <w:hyperlink r:id="rId22">
        <w:r>
          <w:rPr>
            <w:rStyle w:val="Hyperlink"/>
          </w:rPr>
          <w:t>10.1111/cdev.12974</w:t>
        </w:r>
      </w:hyperlink>
    </w:p>
    <w:p w14:paraId="7903600B" w14:textId="77777777" w:rsidR="00222A87" w:rsidRDefault="00D133E5">
      <w:pPr>
        <w:pStyle w:val="BodyText"/>
      </w:pPr>
      <w:r>
        <w:t xml:space="preserve">de León, L. (2011). Language socialization and multiparty participation frameworks. In A. Duranti, E. Ochs, &amp; and Bambi B Schieffelin (Eds.), </w:t>
      </w:r>
      <w:r>
        <w:rPr>
          <w:i/>
        </w:rPr>
        <w:t>Handbook of Language Socialization</w:t>
      </w:r>
      <w:r>
        <w:t xml:space="preserve"> (pp. 81–111). Malden, MA: Wiley-Blackwell. doi:</w:t>
      </w:r>
      <w:hyperlink r:id="rId23">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24">
        <w:r>
          <w:rPr>
            <w:rStyle w:val="Hyperlink"/>
          </w:rPr>
          <w:t>https://langcog.github.io/wordbank-book/</w:t>
        </w:r>
      </w:hyperlink>
    </w:p>
    <w:p w14:paraId="7356B7FC" w14:textId="77777777" w:rsidR="00222A87" w:rsidRDefault="00D133E5">
      <w:pPr>
        <w:pStyle w:val="BodyText"/>
      </w:pPr>
      <w:r>
        <w:t xml:space="preserve">Gaskins, S. (2000). Children’s daily activities in a Mayan village: A culturally grounded description. </w:t>
      </w:r>
      <w:r>
        <w:rPr>
          <w:i/>
        </w:rPr>
        <w:t>Cross-Cultural Research</w:t>
      </w:r>
      <w:r>
        <w:t xml:space="preserve">, </w:t>
      </w:r>
      <w:r>
        <w:rPr>
          <w:i/>
        </w:rPr>
        <w:t>34</w:t>
      </w:r>
      <w:r>
        <w:t>(4), 375–389. doi:</w:t>
      </w:r>
      <w:hyperlink r:id="rId25">
        <w:r>
          <w:rPr>
            <w:rStyle w:val="Hyperlink"/>
          </w:rPr>
          <w:t>10.1177/106939710003400405</w:t>
        </w:r>
      </w:hyperlink>
    </w:p>
    <w:p w14:paraId="60DD4531" w14:textId="77777777" w:rsidR="00222A87" w:rsidRDefault="00D133E5">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6">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(2), 83–92. doi:</w:t>
      </w:r>
      <w:hyperlink r:id="rId27">
        <w:r>
          <w:rPr>
            <w:rStyle w:val="Hyperlink"/>
          </w:rPr>
          <w:t>10.1177/1525740110367826</w:t>
        </w:r>
      </w:hyperlink>
    </w:p>
    <w:p w14:paraId="55AED0AD"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r>
        <w:rPr>
          <w:i/>
        </w:rPr>
        <w:t>Meaningful Differences in the Everyday Experience of Young American Children</w:t>
      </w:r>
      <w:r>
        <w:t>. Paul H. Brookes Publishing.</w:t>
      </w:r>
    </w:p>
    <w:p w14:paraId="43BF5E14" w14:textId="77777777" w:rsidR="00222A87" w:rsidRDefault="00D133E5">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28">
        <w:r>
          <w:rPr>
            <w:rStyle w:val="Hyperlink"/>
          </w:rPr>
          <w:t>10.1177/0956797615581493</w:t>
        </w:r>
      </w:hyperlink>
    </w:p>
    <w:p w14:paraId="1F88F930" w14:textId="77777777" w:rsidR="00222A87" w:rsidRDefault="00D133E5">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1368–1378. doi:</w:t>
      </w:r>
      <w:hyperlink r:id="rId29">
        <w:r>
          <w:rPr>
            <w:rStyle w:val="Hyperlink"/>
          </w:rPr>
          <w:t>10.3389/fpsyg.2015.01492</w:t>
        </w:r>
      </w:hyperlink>
    </w:p>
    <w:p w14:paraId="64CC6AB2" w14:textId="77777777" w:rsidR="00222A87" w:rsidRDefault="00D133E5">
      <w:pPr>
        <w:pStyle w:val="BodyText"/>
      </w:pPr>
      <w:r>
        <w:t xml:space="preserve">Horváth, K., Liu, S., &amp; Plunkett, K. (2016). A daytime nap facilitates generalization of word meanings in young toddlers. </w:t>
      </w:r>
      <w:r>
        <w:rPr>
          <w:i/>
        </w:rPr>
        <w:t>Sleep</w:t>
      </w:r>
      <w:r>
        <w:t xml:space="preserve">, </w:t>
      </w:r>
      <w:r>
        <w:rPr>
          <w:i/>
        </w:rPr>
        <w:t>39</w:t>
      </w:r>
      <w:r>
        <w:t>(1), 203–207. doi:</w:t>
      </w:r>
      <w:hyperlink r:id="rId30">
        <w:r>
          <w:rPr>
            <w:rStyle w:val="Hyperlink"/>
          </w:rPr>
          <w:t>10.5665/sleep.5348</w:t>
        </w:r>
      </w:hyperlink>
    </w:p>
    <w:p w14:paraId="11261AB7" w14:textId="77777777" w:rsidR="00222A87" w:rsidRDefault="00D133E5">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31">
        <w:r>
          <w:rPr>
            <w:rStyle w:val="Hyperlink"/>
          </w:rPr>
          <w:t>10.1016/j.cogpsych.2010.08.002</w:t>
        </w:r>
      </w:hyperlink>
    </w:p>
    <w:p w14:paraId="7DDB8F1B" w14:textId="77777777" w:rsidR="00222A87" w:rsidRDefault="00D133E5">
      <w:pPr>
        <w:pStyle w:val="BodyText"/>
      </w:pPr>
      <w:r>
        <w:t xml:space="preserve">Kuhl, P. K. (2004). Early language acquisition: Cracking the speech code. </w:t>
      </w:r>
      <w:r>
        <w:rPr>
          <w:i/>
        </w:rPr>
        <w:t>Nature Reviews Neuroscience</w:t>
      </w:r>
      <w:r>
        <w:t xml:space="preserve">, </w:t>
      </w:r>
      <w:r>
        <w:rPr>
          <w:i/>
        </w:rPr>
        <w:t>5</w:t>
      </w:r>
      <w:r>
        <w:t>(11), 831. doi:</w:t>
      </w:r>
      <w:hyperlink r:id="rId32">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r>
        <w:t xml:space="preserve">LeVine, R. A., Dixon, S., LeVine, S., Richman, A., Leiderman, P. H., Keefer, C. H., &amp; Brazelton, T. B. (1996). </w:t>
      </w:r>
      <w:r>
        <w:rPr>
          <w:i/>
        </w:rPr>
        <w:t>Child care and culture: Lessons from Africa</w:t>
      </w:r>
      <w:r>
        <w:t>. Cambridge University Press.</w:t>
      </w:r>
    </w:p>
    <w:p w14:paraId="6D92F290" w14:textId="77777777" w:rsidR="00222A87" w:rsidRDefault="00D133E5">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33">
        <w:r>
          <w:rPr>
            <w:rStyle w:val="Hyperlink"/>
          </w:rPr>
          <w:t>10.1017/S0305000996002930</w:t>
        </w:r>
      </w:hyperlink>
    </w:p>
    <w:p w14:paraId="39707C45" w14:textId="77777777" w:rsidR="00222A87" w:rsidRDefault="00D133E5">
      <w:pPr>
        <w:pStyle w:val="BodyText"/>
      </w:pPr>
      <w:r>
        <w:t xml:space="preserve">Marchman,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34">
        <w:r>
          <w:rPr>
            <w:rStyle w:val="Hyperlink"/>
          </w:rPr>
          <w:t>10.1111/j.1467-7687.2004.00340.x</w:t>
        </w:r>
      </w:hyperlink>
    </w:p>
    <w:p w14:paraId="2B5C2395" w14:textId="77777777" w:rsidR="00222A87" w:rsidRDefault="00D133E5">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Early phonetic and lexical development. </w:t>
      </w:r>
      <w:r>
        <w:rPr>
          <w:i/>
        </w:rPr>
        <w:t>Journal of Speech, Language, and Hearing Research</w:t>
      </w:r>
      <w:r>
        <w:t>.</w:t>
      </w:r>
    </w:p>
    <w:p w14:paraId="5A57D7FC" w14:textId="77777777" w:rsidR="00222A87" w:rsidRDefault="00D133E5">
      <w:pPr>
        <w:pStyle w:val="BodyText"/>
      </w:pPr>
      <w:r>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r>
        <w:t xml:space="preserve">Ochs, E. (1988). </w:t>
      </w:r>
      <w:r>
        <w:rPr>
          <w:i/>
        </w:rPr>
        <w:t>Culture and language development: Language acquisition and language socialization in a Samoan village</w:t>
      </w:r>
      <w:r>
        <w:t>. Cambridge University Press.</w:t>
      </w:r>
    </w:p>
    <w:p w14:paraId="7526617B"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5C76A691" w14:textId="77777777" w:rsidR="00222A87" w:rsidRDefault="00D133E5">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4EE0DE51" w14:textId="77777777" w:rsidR="00222A87" w:rsidRDefault="00D133E5">
      <w:pPr>
        <w:pStyle w:val="BodyText"/>
      </w:pPr>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35">
        <w:r>
          <w:rPr>
            <w:rStyle w:val="Hyperlink"/>
          </w:rPr>
          <w:t>10.1017/S0305000900008473</w:t>
        </w:r>
      </w:hyperlink>
    </w:p>
    <w:p w14:paraId="40B6B0A3" w14:textId="77777777" w:rsidR="00222A87" w:rsidRDefault="00D133E5">
      <w:pPr>
        <w:pStyle w:val="BodyText"/>
      </w:pPr>
      <w:r>
        <w:t xml:space="preserve">Pye, C. (1986). Quiché Mayan speech to children. </w:t>
      </w:r>
      <w:r>
        <w:rPr>
          <w:i/>
        </w:rPr>
        <w:t>Journal of Child Language</w:t>
      </w:r>
      <w:r>
        <w:t xml:space="preserve">, </w:t>
      </w:r>
      <w:r>
        <w:rPr>
          <w:i/>
        </w:rPr>
        <w:t>13</w:t>
      </w:r>
      <w:r>
        <w:t>(1), 85–100. doi:</w:t>
      </w:r>
      <w:hyperlink r:id="rId36">
        <w:r>
          <w:rPr>
            <w:rStyle w:val="Hyperlink"/>
          </w:rPr>
          <w:t>10.1017/S0305000900000313</w:t>
        </w:r>
      </w:hyperlink>
    </w:p>
    <w:p w14:paraId="3BA33CD3" w14:textId="77777777" w:rsidR="00222A87" w:rsidRDefault="00D133E5">
      <w:pPr>
        <w:pStyle w:val="BodyText"/>
      </w:pPr>
      <w:r>
        <w:t xml:space="preserve">R Core Team. (2019). </w:t>
      </w:r>
      <w:r>
        <w:rPr>
          <w:i/>
        </w:rPr>
        <w:t>R: A language and environment for statistical computing</w:t>
      </w:r>
      <w:r>
        <w:t xml:space="preserve">. Vienna, Austria: R Foundation for Statistical Computing. Retrieved from </w:t>
      </w:r>
      <w:hyperlink r:id="rId37">
        <w:r>
          <w:rPr>
            <w:rStyle w:val="Hyperlink"/>
          </w:rPr>
          <w:t>https://www.R-project.org/</w:t>
        </w:r>
      </w:hyperlink>
    </w:p>
    <w:p w14:paraId="00613BCE" w14:textId="77777777" w:rsidR="00222A87" w:rsidRDefault="00D133E5">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2D3FF673"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38">
        <w:r>
          <w:rPr>
            <w:rStyle w:val="Hyperlink"/>
          </w:rPr>
          <w:t>10.1111/desc.12172</w:t>
        </w:r>
      </w:hyperlink>
    </w:p>
    <w:p w14:paraId="32DBB8ED" w14:textId="77777777" w:rsidR="00222A87" w:rsidRDefault="00D133E5">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39">
        <w:r>
          <w:rPr>
            <w:rStyle w:val="Hyperlink"/>
          </w:rPr>
          <w:t>10.1146/annurev.psych.54.101601.145118</w:t>
        </w:r>
      </w:hyperlink>
    </w:p>
    <w:p w14:paraId="32523BEF" w14:textId="77777777" w:rsidR="00222A87" w:rsidRDefault="00D133E5">
      <w:pPr>
        <w:pStyle w:val="BodyText"/>
      </w:pPr>
      <w:r>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40">
        <w:r>
          <w:rPr>
            <w:rStyle w:val="Hyperlink"/>
          </w:rPr>
          <w:t>10.1017/S0305000907008343</w:t>
        </w:r>
      </w:hyperlink>
    </w:p>
    <w:p w14:paraId="17D1FF84" w14:textId="77777777" w:rsidR="00222A87" w:rsidRDefault="00D133E5">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6E442D90" w14:textId="77777777" w:rsidR="00222A87" w:rsidRDefault="00D133E5">
      <w:pPr>
        <w:pStyle w:val="BodyText"/>
      </w:pPr>
      <w:r>
        <w:t>Scaff, C., Stieglitz, J., Casillas, M., &amp; Cristia, A. (in preparation).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Cambridge University Press.</w:t>
      </w:r>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41">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The University of Chicago.</w:t>
      </w:r>
    </w:p>
    <w:p w14:paraId="1DD9590B"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42">
        <w:r>
          <w:rPr>
            <w:rStyle w:val="Hyperlink"/>
          </w:rPr>
          <w:t>10.1111/j.1467-7687.2012.01168.x</w:t>
        </w:r>
      </w:hyperlink>
    </w:p>
    <w:p w14:paraId="3639B3F1"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7A4910E5" w14:textId="77777777" w:rsidR="00222A87" w:rsidRDefault="00D133E5">
      <w:pPr>
        <w:pStyle w:val="BodyText"/>
      </w:pPr>
      <w:r>
        <w:t xml:space="preserve">Smithson, M., &amp; Merkle, E. (2013). </w:t>
      </w:r>
      <w:r>
        <w:rPr>
          <w:i/>
        </w:rPr>
        <w:t>Generalized linear models for categorical and continuous limited dependent variables</w:t>
      </w:r>
      <w:r>
        <w:t>. New York: Chapman; Hall/CRC. doi:</w:t>
      </w:r>
      <w:hyperlink r:id="rId43">
        <w:r>
          <w:rPr>
            <w:rStyle w:val="Hyperlink"/>
          </w:rPr>
          <w:t>10.1201/b15694</w:t>
        </w:r>
      </w:hyperlink>
    </w:p>
    <w:p w14:paraId="6D69A815" w14:textId="77777777" w:rsidR="00E94F3A" w:rsidRDefault="00E94F3A" w:rsidP="00E94F3A">
      <w:pPr>
        <w:pStyle w:val="BodyText"/>
      </w:pPr>
      <w:r>
        <w:t xml:space="preserve">Snow, C. E. (1977).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4">
        <w:r>
          <w:rPr>
            <w:rStyle w:val="Hyperlink"/>
          </w:rPr>
          <w:t>10.1371/journal.pone.0080646</w:t>
        </w:r>
      </w:hyperlink>
    </w:p>
    <w:p w14:paraId="621BD87E" w14:textId="77777777" w:rsidR="00222A87" w:rsidRDefault="00D133E5">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45">
        <w:r>
          <w:rPr>
            <w:rStyle w:val="Hyperlink"/>
          </w:rPr>
          <w:t>10.1177/0142723715596647</w:t>
        </w:r>
      </w:hyperlink>
    </w:p>
    <w:p w14:paraId="6D45973A" w14:textId="77777777" w:rsidR="00222A87" w:rsidRDefault="00D133E5">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6">
        <w:r>
          <w:rPr>
            <w:rStyle w:val="Hyperlink"/>
          </w:rPr>
          <w:t>10.1177/0956797614531023</w:t>
        </w:r>
      </w:hyperlink>
    </w:p>
    <w:p w14:paraId="21C773EC" w14:textId="77777777" w:rsidR="00222A87" w:rsidRDefault="00D133E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7">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Springer-Verlag New York. Retrieved from </w:t>
      </w:r>
      <w:hyperlink r:id="rId48">
        <w:r>
          <w:rPr>
            <w:rStyle w:val="Hyperlink"/>
          </w:rPr>
          <w:t>https://ggplot2.tidyverse.org</w:t>
        </w:r>
      </w:hyperlink>
    </w:p>
    <w:p w14:paraId="6016874C" w14:textId="6AC367B7" w:rsidR="00222A87" w:rsidRDefault="00D133E5" w:rsidP="00107465">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272AFA" w:rsidRDefault="001545C2">
      <w:pPr>
        <w:pStyle w:val="FootnoteText"/>
        <w:rPr>
          <w:color w:val="F79646" w:themeColor="accent6"/>
        </w:rPr>
      </w:pPr>
      <w:r w:rsidRPr="00272AFA">
        <w:rPr>
          <w:rStyle w:val="FootnoteReference"/>
          <w:color w:val="F79646" w:themeColor="accent6"/>
        </w:rPr>
        <w:footnoteRef/>
      </w:r>
      <w:r w:rsidRPr="00272AFA">
        <w:rPr>
          <w:color w:val="F79646" w:themeColor="accent6"/>
        </w:rP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Default="001545C2">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sidRPr="00B0619B">
        <w:rPr>
          <w:color w:val="F79646" w:themeColor="accent6"/>
        </w:rPr>
        <w:t>on other islands in the region</w:t>
      </w:r>
      <w:r>
        <w:t xml:space="preserve">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3AFA"/>
    <w:rsid w:val="000929D5"/>
    <w:rsid w:val="000D24CB"/>
    <w:rsid w:val="00107465"/>
    <w:rsid w:val="001545C2"/>
    <w:rsid w:val="00192B01"/>
    <w:rsid w:val="00222A87"/>
    <w:rsid w:val="00272AFA"/>
    <w:rsid w:val="00276FDE"/>
    <w:rsid w:val="002B6304"/>
    <w:rsid w:val="00377861"/>
    <w:rsid w:val="003A5997"/>
    <w:rsid w:val="003D2268"/>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AB7FC4"/>
    <w:rsid w:val="00B0619B"/>
    <w:rsid w:val="00B86B75"/>
    <w:rsid w:val="00BB7FCB"/>
    <w:rsid w:val="00BC08BF"/>
    <w:rsid w:val="00BC48D5"/>
    <w:rsid w:val="00BE380C"/>
    <w:rsid w:val="00C03286"/>
    <w:rsid w:val="00C36279"/>
    <w:rsid w:val="00C57271"/>
    <w:rsid w:val="00C97BA5"/>
    <w:rsid w:val="00D133E5"/>
    <w:rsid w:val="00D417E6"/>
    <w:rsid w:val="00D61162"/>
    <w:rsid w:val="00D71636"/>
    <w:rsid w:val="00DB528C"/>
    <w:rsid w:val="00DC1CC5"/>
    <w:rsid w:val="00DC74BC"/>
    <w:rsid w:val="00E23D5C"/>
    <w:rsid w:val="00E315A3"/>
    <w:rsid w:val="00E322B5"/>
    <w:rsid w:val="00E52235"/>
    <w:rsid w:val="00E746B1"/>
    <w:rsid w:val="00E94F3A"/>
    <w:rsid w:val="00EB59D0"/>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4531023" TargetMode="External"/><Relationship Id="rId47" Type="http://schemas.openxmlformats.org/officeDocument/2006/relationships/hyperlink" Target="https://doi.org/10.1177/0956797613488145" TargetMode="External"/><Relationship Id="rId48" Type="http://schemas.openxmlformats.org/officeDocument/2006/relationships/hyperlink" Target="https://ggplot2.tidyverse.org" TargetMode="External"/><Relationship Id="rId49" Type="http://schemas.openxmlformats.org/officeDocument/2006/relationships/fontTable" Target="fontTable.xml"/><Relationship Id="rId20" Type="http://schemas.openxmlformats.org/officeDocument/2006/relationships/hyperlink" Target="https://doi.org/10.1525/collabra.209" TargetMode="External"/><Relationship Id="rId21" Type="http://schemas.openxmlformats.org/officeDocument/2006/relationships/hyperlink" Target="https://osf.io/aknjv/" TargetMode="External"/><Relationship Id="rId22" Type="http://schemas.openxmlformats.org/officeDocument/2006/relationships/hyperlink" Target="https://doi.org/10.1111/cdev.12974" TargetMode="External"/><Relationship Id="rId23" Type="http://schemas.openxmlformats.org/officeDocument/2006/relationships/hyperlink" Target="https://doi.org/10.1002/9781444342901.ch4" TargetMode="External"/><Relationship Id="rId24" Type="http://schemas.openxmlformats.org/officeDocument/2006/relationships/hyperlink" Target="https://langcog.github.io/wordbank-book/" TargetMode="External"/><Relationship Id="rId25" Type="http://schemas.openxmlformats.org/officeDocument/2006/relationships/hyperlink" Target="https://doi.org/10.1177/106939710003400405" TargetMode="External"/><Relationship Id="rId26" Type="http://schemas.openxmlformats.org/officeDocument/2006/relationships/hyperlink" Target="https://doi.org/10.1111/j.1467-9280.2006.01764.x" TargetMode="External"/><Relationship Id="rId27" Type="http://schemas.openxmlformats.org/officeDocument/2006/relationships/hyperlink" Target="https://doi.org/10.1177/1525740110367826" TargetMode="External"/><Relationship Id="rId28" Type="http://schemas.openxmlformats.org/officeDocument/2006/relationships/hyperlink" Target="https://doi.org/10.1177/0956797615581493" TargetMode="External"/><Relationship Id="rId29" Type="http://schemas.openxmlformats.org/officeDocument/2006/relationships/hyperlink" Target="https://doi.org/10.3389/fpsyg.2015.01492"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5665/sleep.5348" TargetMode="External"/><Relationship Id="rId31" Type="http://schemas.openxmlformats.org/officeDocument/2006/relationships/hyperlink" Target="https://doi.org/10.1016/j.cogpsych.2010.08.002" TargetMode="External"/><Relationship Id="rId32" Type="http://schemas.openxmlformats.org/officeDocument/2006/relationships/hyperlink" Target="https://doi.org/10.1038/nrn1533"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33" Type="http://schemas.openxmlformats.org/officeDocument/2006/relationships/hyperlink" Target="https://doi.org/10.1017/S0305000996002930" TargetMode="External"/><Relationship Id="rId34" Type="http://schemas.openxmlformats.org/officeDocument/2006/relationships/hyperlink" Target="https://doi.org/10.1111/j.1467-7687.2004.00340.x" TargetMode="External"/><Relationship Id="rId35" Type="http://schemas.openxmlformats.org/officeDocument/2006/relationships/hyperlink" Target="https://doi.org/10.1017/S0305000900008473" TargetMode="External"/><Relationship Id="rId36" Type="http://schemas.openxmlformats.org/officeDocument/2006/relationships/hyperlink" Target="https://doi.org/10.1017/S0305000900000313"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080/016909697386628" TargetMode="External"/><Relationship Id="rId14" Type="http://schemas.openxmlformats.org/officeDocument/2006/relationships/hyperlink" Target="https://doi.org/10.1111/desc.12715" TargetMode="External"/><Relationship Id="rId15" Type="http://schemas.openxmlformats.org/officeDocument/2006/relationships/hyperlink" Target="https://doi.org/10.1111/desc.12724" TargetMode="External"/><Relationship Id="rId16" Type="http://schemas.openxmlformats.org/officeDocument/2006/relationships/hyperlink" Target="https://doi.org/10.1111/desc.12709" TargetMode="External"/><Relationship Id="rId17" Type="http://schemas.openxmlformats.org/officeDocument/2006/relationships/hyperlink" Target="https://doi.org/10.1101/132753" TargetMode="External"/><Relationship Id="rId18" Type="http://schemas.openxmlformats.org/officeDocument/2006/relationships/hyperlink" Target="https://doi.org/10.1017/CBO9781139342872.010" TargetMode="External"/><Relationship Id="rId19" Type="http://schemas.openxmlformats.org/officeDocument/2006/relationships/hyperlink" Target="https://doi.org/10.1073/pnas.1309518110" TargetMode="External"/><Relationship Id="rId37" Type="http://schemas.openxmlformats.org/officeDocument/2006/relationships/hyperlink" Target="https://www.R-project.org/" TargetMode="External"/><Relationship Id="rId38" Type="http://schemas.openxmlformats.org/officeDocument/2006/relationships/hyperlink" Target="https://doi.org/10.1111/desc.12172" TargetMode="External"/><Relationship Id="rId39" Type="http://schemas.openxmlformats.org/officeDocument/2006/relationships/hyperlink" Target="https://doi.org/10.1146/annurev.psych.54.101601.145118" TargetMode="External"/><Relationship Id="rId40" Type="http://schemas.openxmlformats.org/officeDocument/2006/relationships/hyperlink" Target="https://doi.org/10.1017/S0305000907008343" TargetMode="External"/><Relationship Id="rId41" Type="http://schemas.openxmlformats.org/officeDocument/2006/relationships/hyperlink" Target="https://doi.org/10.1037/dev0000125" TargetMode="External"/><Relationship Id="rId42" Type="http://schemas.openxmlformats.org/officeDocument/2006/relationships/hyperlink" Target="https://doi.org/10.1111/j.1467-7687.2012.01168.x" TargetMode="External"/><Relationship Id="rId43" Type="http://schemas.openxmlformats.org/officeDocument/2006/relationships/hyperlink" Target="https://doi.org/10.1201/b15694" TargetMode="External"/><Relationship Id="rId44" Type="http://schemas.openxmlformats.org/officeDocument/2006/relationships/hyperlink" Target="https://doi.org/10.1371/journal.pone.0080646" TargetMode="External"/><Relationship Id="rId45" Type="http://schemas.openxmlformats.org/officeDocument/2006/relationships/hyperlink" Target="https://doi.org/10.1177/014272371559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12018</Words>
  <Characters>68503</Characters>
  <Application>Microsoft Macintosh Word</Application>
  <DocSecurity>0</DocSecurity>
  <Lines>570</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4</cp:revision>
  <dcterms:created xsi:type="dcterms:W3CDTF">2020-06-24T09:16:00Z</dcterms:created>
  <dcterms:modified xsi:type="dcterms:W3CDTF">2020-06-24T09:42:00Z</dcterms:modified>
</cp:coreProperties>
</file>