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  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2CA89BE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482D8AFD"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
                Policymakers interested in outcomes-based funding 
                <w:del w:id="111" w:author="Claude" w:date="2026-02-20T00:00:00Z">
                  <w:delText>often hold common goals</w:delText>
                </w:del>
                <w:ins w:id="111" w:author="Claude" w:date="2026-02-20T00:00:00Z">
                  <w:t>often share common goals</w:t>
                </w:ins>
                .
              </w:t>
            </w:r>
            <w:r>
              <w:rPr>
                <w:color w:val="000000"/>
                <w:sz w:val="24"/>
                <w:szCs w:val="24"/>
              </w:rPr>
              <w:tab/>
              <w:t>3</w:t>
            </w:r>
          </w:hyperlink>
        </w:p>
        <w:p w14:paraId="1639D4D1"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
                Evidence on the effectiveness of these 
                <w:del w:id="114" w:author="Claude" w:date="2026-02-20T00:00:00Z">
                  <w:delText>models, however, remains</w:delText>
                </w:del>
                <w:ins w:id="114" w:author="Claude" w:date="2026-02-20T00:00:00Z">
                  <w:t>models remains</w:t>
                </w:ins>
                 mixed across different designs and implementations.
              </w:t>
            </w:r>
            <w:r>
              <w:rPr>
                <w:color w:val="000000"/>
                <w:sz w:val="24"/>
                <w:szCs w:val="24"/>
              </w:rPr>
              <w:tab/>
              <w:t>3</w:t>
            </w:r>
          </w:hyperlink>
        </w:p>
        <w:p w14:paraId="43A625A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w14:paraId="74ADEA8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73E796F9"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697B4F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w:del w:id="100" w:author="Claude" w:date="2026-02-20T00:00:00Z">
            <w:delText>effort to show</w:delText>
          </w:del>
          <w:ins w:id="100" w:author="Claude" w:date="2026-02-20T00:00:00Z">
            <w:t>efforts to show</w:t>
          </w:ins>
           that attendance and completion lead to measurable student and workforce-related outcomes.
        </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
          The goal of this primer is to provide a nuanced but accessible introduction to outcomes-based funding in state postsecondary finance. It reviews where outcomes-based models sit in the broader landscape of state higher education finance, synthesizes 
          <w:del w:id="101" w:author="Claude" w:date="2026-02-20T00:00:00Z">
            <w:delText>extant research</w:delText>
          </w:del>
          <w:ins w:id="101" w:author="Claude" w:date="2026-02-20T00:00:00Z">
            <w:t>existing research</w:t>
          </w:ins>
          ,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w:del w:id="102" w:author="Claude" w:date="2026-02-20T00:00:00Z">
            <w:delText>it is a resource for anyone</w:delText>
          </w:del>
          <w:ins w:id="102" w:author="Claude" w:date="2026-02-20T00:00:00Z">
            <w:t>it serves as a resource for policymakers, advocates, funders, and others seeking</w:t>
          </w:ins>
           — policymakers, advocates, funders, or others — who seeks to understand the opportunities and challenges associated with outcomes-based models. The goal is to equip decision-makers with 
          <w:del w:id="103" w:author="Claude" w:date="2026-02-20T00:00:00Z">
            <w:delText>the knowledge needed to make informed decisions</w:delText>
          </w:del>
          <w:ins w:id="103" w:author="Claude" w:date="2026-02-20T00:00:00Z">
            <w:t>the knowledge they need to make informed decisions</w:t>
          </w:ins>
           about whether and how to incorporate outcomes-based elements into their state's funding formula.
        </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w:del w:id="104" w:author="Claude" w:date="2026-02-20T00:00:00Z">
            <w:delText>institutional initiatives, and personnel costs</w:delText>
          </w:del>
          <w:ins w:id="104" w:author="Claude" w:date="2026-02-20T00:00:00Z">
            <w:t>institutional initiatives, or personnel costs</w:t>
          </w:ins>
          .
        </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
          Over time, many states have pivoted to use funding formulas 
          <w:del w:id="105" w:author="Claude" w:date="2026-02-20T00:00:00Z">
            <w:delText>(and many</w:delText>
          </w:del>
          <w:ins w:id="105" w:author="Claude" w:date="2026-02-20T00:00:00Z">
            <w:t>(many</w:t>
          </w:ins>
           with increasing numbers of inputs).
        </w:t>
      </w:r>
      <w:r>
        <w:rPr>
          <w:vertAlign w:val="superscript"/>
        </w:rPr>
        <w:footnoteReference w:id="11"/>
      </w:r>
      <w:r>
        <w:t xml:space="preserve">
           These formulas were developed to a) reduce political influence and volatility, and b) 
          <w:del w:id="106" w:author="Claude" w:date="2026-02-20T00:00:00Z">
            <w:delText>distribute funding in a fairer</w:delText>
          </w:del>
          <w:ins w:id="106" w:author="Claude" w:date="2026-02-20T00:00:00Z">
            <w:t>distribute funds in a fairer</w:t>
          </w:ins>
          , more rational way.
        </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w:del w:id="107" w:author="Claude" w:date="2026-02-20T00:00:00Z">
            <w:delText>(FTE) enrollment,</w:delText>
          </w:del>
          <w:ins w:id="107" w:author="Claude" w:date="2026-02-20T00:00:00Z">
            <w:t> enrollment,</w:t>
          </w:ins>
           and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
          As of 2025, more than 30 states distribute 
          <w:del w:id="108" w:author="Claude" w:date="2026-02-20T00:00:00Z">
            <w:delText>some level of funding through an outcomes-based model</w:delText>
          </w:del>
          <w:ins w:id="108" w:author="Claude" w:date="2026-02-20T00:00:00Z">
            <w:t>some funding using outcomes-based models</w:t>
          </w:ins>
          .
        </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r>
              <w:rPr>
                <w:b/>
                <w:bCs/>
              </w:rPr>
              <w:t>
                <w:del w:id="109" w:author="Claude" w:date="2026-02-20T00:00:00Z">
                  <w:delText>Table. Examples</w:delText>
                </w:del>
                <w:ins w:id="109" w:author="Claude" w:date="2026-02-20T00:00:00Z">
                  <w:t>Table 1. Examples</w:t>
                </w:ins>
                 of states with formulas that are majority outcomes-based
              </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r>
      <w:r>
        <w:lastRenderedPageBreak/>
        <w:t>
          funding to outcomes 
          <w:del w:id="100" w:author="Claude" w:date="2026-02-20T00:00:00Z">
            <w:delText>
              <w:del w:id="110" w:author="Claude" w:date="2026-02-20T00:00:00Z">
                <w:delText>(Table</w:delText>
              </w:del>
              <w:ins w:id="110" w:author="Claude" w:date="2026-02-20T00:00:00Z">
                <w:t>(Table 1</w:t>
              </w:ins>
            </w:delText>
          </w:del>
          <w:ins w:id="100" w:author="Claude" w:date="2026-02-20T00:00:00Z">
            <w:t>(Table 1</w:t>
          </w:ins>
        </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Policymakers interested in outcomes-based funding often hold common goals.</w:t>
      </w:r>
    </w:p>
    <w:p w14:paraId="5E8E10EA" w14: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w:del w:id="112" w:author="Claude" w:date="2026-02-20T00:00:00Z">
            <w:delText>accountability practices to public</w:delText>
          </w:del>
          <w:ins w:id="112" w:author="Claude" w:date="2026-02-20T00:00:00Z">
            <w:t>accountability to public</w:t>
          </w:ins>
           investments.
        </w:t>
      </w:r>
    </w:p>
    <w:p w14:paraId="0B2BB947" w14:textId="77777777" w:rsidR="00621651" w:rsidRDefault="00621651"/>
    <w:p w14:paraId="276F8B39" w14:textId="77777777" w:rsidR="00621651" w:rsidRDefault="00000000">
      <w:r>
        <w:t>
          Some see outcomes-based funding as a tool to achieve broader goals linked to the public good. Advocates in Illinois, for example, have worked to 
          <w:del w:id="113" w:author="Claude" w:date="2026-02-20T00:00:00Z">
            <w:delText>design elements of funding adequacy into</w:delText>
          </w:del>
          <w:ins w:id="113" w:author="Claude" w:date="2026-02-20T00:00:00Z">
            <w:t>incorporate elements of funding adequacy into</w:t>
          </w:ins>
           their proposed formula, recognizing that under-resourced institutions may need additional support to improve outcomes.
        </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Evidence on the effectiveness of these models, however, remains mixed across different designs and implementations.</w:t>
      </w:r>
    </w:p>
    <w:p w14:paraId="7A2CAEBB" w14:textId="77777777" w:rsidR="00621651" w:rsidRDefault="00000000">
      <w:r>
        <w:t>
          Despite the growing enthusiasm for outcomes-based funding, evidence of its effectiveness remains mixed. Across 12 quantitative evaluations of 
          <w:del w:id="115" w:author="Claude" w:date="2026-02-20T00:00:00Z">
            <w:delText>outcomes-based state models</w:delText>
          </w:del>
          <w:ins w:id="115" w:author="Claude" w:date="2026-02-20T00:00:00Z">
            <w:t>outcomes-based funding models</w:t>
          </w:ins>
          , researchers found that states using these funding models did not outperform other states on key metrics.
        </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r>
        <w:t xml:space="preserve">
          <w:del w:id="116" w:author="Claude" w:date="2026-02-20T00:00:00Z">
            <w:delText>There could be several potential</w:delText>
          </w:del>
          <w:ins w:id="116" w:author="Claude" w:date="2026-02-20T00:00:00Z">
            <w:t>There are several potential</w:t>
          </w:ins>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w:del w:id="117" w:author="Claude" w:date="2026-02-20T00:00:00Z">
            <w:delText>fail to move the needle</w:delText>
          </w:del>
          <w:ins w:id="117" w:author="Claude" w:date="2026-02-20T00:00:00Z">
            <w:t>fail to drive meaningful improvement</w:t>
          </w:ins>
          . 
        </w:t>
      </w:r>
    </w:p>
    <w:p w14:paraId="1DA83C62" w14:textId="77777777" w:rsidR="00621651" w:rsidRDefault="00621651"/>
    <w:p w14:paraId="5A214F72" w14:textId="77777777" w:rsidR="00621651" w:rsidRDefault="00000000">
      <w:r>
        <w:t>
          Another factor that affects the evidence pool is the wide variation in formula design. A study investigating just one outcome metric — 
          <w:del w:id="118" w:author="Claude" w:date="2026-02-20T00:00:00Z">
            <w:delText>certificate awards</w:delText>
          </w:del>
          <w:ins w:id="118" w:author="Claude" w:date="2026-02-20T00:00:00Z">
            <w:t>certificate awards</w:t>
          </w:ins>
           — found substantial 
          <w:del w:id="119" w:author="Claude" w:date="2026-02-20T00:00:00Z">
            <w:delText>variation in how states defined and used that metric for funding allocations</w:delText>
          </w:del>
          <w:ins w:id="119" w:author="Claude" w:date="2026-02-20T00:00:00Z">
            <w:t>variation in how states defined and used it for allocating funds</w:t>
          </w:ins>
          .
        </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w:del w:id="120" w:author="Claude" w:date="2026-02-20T00:00:00Z">
            <w:delText>may serve as a strategy to push schools to increase</w:delText>
          </w:del>
          <w:ins w:id="120" w:author="Claude" w:date="2026-02-20T00:00:00Z">
            <w:t>may be an effective strategy to encourage institutions to increase</w:t>
          </w:ins>
           their focus on student outcomes.
        </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r>
              <w:rPr>
                <w:b/>
                <w:bCs/>
              </w:rPr>
              <w:t>
                <w:commentRangeStart w:id="4"/>
                Sidebar: Outcomes-Based Funding as a Policy Tool
                <w:commentRangeEnd w:id="4"/>
                <w:r>
                  <w:rPr>
                    <w:rStyle w:val="CommentReference"/>
                  </w:rPr>
                  <w:annotationRef/>
                </w:r>
              </w:t>
            </w:r>
          </w:p>
          <w:p w14:paraId="6CD0221A" w14:textId="77777777" w:rsidR="00621651" w:rsidRDefault="00000000">
            <w:r>
              <w:t>
                Using outcomes-based funding as an incentive tool assumes that institutions have the capacity to respond but lack motivation. However, poor performance 
                <w:del w:id="121" w:author="Claude" w:date="2026-02-20T00:00:00Z">
                  <w:delText>can also be the result</w:delText>
                </w:del>
                <w:ins w:id="121" w:author="Claude" w:date="2026-02-20T00:00:00Z">
                  <w:t>can be the result</w:t>
                </w:ins>
                 of insufficient resources rather than inadequate effort.
              </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
                In these cases, what is 
                <w:del w:id="122" w:author="Claude" w:date="2026-02-20T00:00:00Z">
                  <w:delText>the appropriate state role in</w:delText>
                </w:del>
                <w:ins w:id="122" w:author="Claude" w:date="2026-02-20T00:00:00Z">
                  <w:t>the appropriate role of the state in</w:t>
                </w:ins>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
              </w:t>
            </w:r>
          </w:p>
          <w:p w14:paraId="035CE88A" w14:textId="77777777" w:rsidR="00621651" w:rsidRDefault="00621651"/>
          <w:p w14:paraId="1E51A8B6" w14:textId="77777777" w:rsidR="00621651" w:rsidRDefault="00000000">
            <w:r>
              <w:t>
                Moreover, there is the question of whether financial incentives are the right mechanism to change institutional behavior at all. Research suggests that government operates differently from 
                <w:del w:id="123" w:author="Claude" w:date="2026-02-20T00:00:00Z">
                  <w:delText>business contexts</w:delText>
                </w:del>
                <w:ins w:id="123" w:author="Claude" w:date="2026-02-20T00:00:00Z">
                  <w:t>business</w:t>
                </w:ins>
                , and performance incentives can have unintended consequences, such as narrowing focus to only what is measured, gaming the system, or neglecting harder-to-
              </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
          Given the mixed formal evidence, some stakeholders may be rightfully skeptical of outcomes-based funding models
          <w:del w:id="124" w:author="Claude" w:date="2026-02-20T00:00:00Z">
            <w:delText>, but they are still appealing</w:delText>
          </w:del>
          <w:ins w:id="124" w:author="Claude" w:date="2026-02-20T00:00:00Z">
            <w:t>; however, they are still appealing</w:t>
          </w:ins>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
        </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w:del w:id="125" w:author="Claude" w:date="2026-02-20T00:00:00Z">
            <w:delText>and filling talent</w:delText>
          </w:del>
          <w:ins w:id="125" w:author="Claude" w:date="2026-02-20T00:00:00Z">
            <w:t>and for filling talent</w:t>
          </w:ins>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w:del w:id="126" w:author="Claude" w:date="2026-02-20T00:00:00Z">
            <w:delText>both for historically</w:delText>
          </w:del>
          <w:ins w:id="126" w:author="Claude" w:date="2026-02-20T00:00:00Z">
            <w:t>for both historically</w:t>
          </w:ins>
           marginalized groups and students who face unique obstacles.
        </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
          communicate
          <w:del w:id="127" w:author="Claude" w:date="2026-02-20T00:00:00Z">
            <w:delText>, but they risk</w:delText>
          </w:del>
          <w:ins w:id="127" w:author="Claude" w:date="2026-02-20T00:00:00Z">
            <w:t>, but risk</w:t>
          </w:ins>
           reinforcing a transactional view of higher education that ignores its broader civic and social purposes. 
          <w:del w:id="128" w:author="Claude" w:date="2026-02-20T00:00:00Z">
            <w:delText>Broader definitions capture the full</w:delText>
          </w:del>
          <w:ins w:id="128" w:author="Claude" w:date="2026-02-20T00:00:00Z">
            <w:t>Broader definitions may capture the full</w:t>
          </w:ins>
           range of returns but are harder to quantify and tie directly to funding.
        </w:t>
      </w:r>
    </w:p>
    <w:p w14:paraId="4F3E2020" w14:textId="77777777" w:rsidR="00621651" w:rsidRDefault="00621651"/>
    <w:p w14:paraId="1D6349F6" w14:textId="77777777" w:rsidR="00621651" w:rsidRDefault="00000000">
      <w:r>
        <w:t>
          Moreover, there may be trade-offs when different priorities are in competition. For example, a funding formula that heavily rewards high-earning fields like engineering may inadvertently discourage institutions from investing in student success programs or promoting 
          <w:del w:id="129" w:author="Claude" w:date="2026-02-20T00:00:00Z">
            <w:delText>critical, but lower-earning</w:delText>
          </w:del>
          <w:ins w:id="129" w:author="Claude" w:date="2026-02-20T00:00:00Z">
            <w:t>critical but lower-earning</w:t>
          </w:ins>
           fields (e.g., teaching).
        </w:t>
      </w:r>
    </w:p>
    <w:p w14:paraId="05193026" w14:textId="77777777" w:rsidR="00621651" w:rsidRDefault="00621651"/>
    <w:p w14:paraId="3258C3C0" w14:textId="77777777" w:rsidR="00621651" w:rsidRDefault="00000000">
      <w:r>
        <w:t>
          Outcomes-based funding policies require policymakers to balance competing priorities and determine what is most relevant, 
          <w:del w:id="130" w:author="Claude" w:date="2026-02-20T00:00:00Z">
            <w:delText>high-priority, and applicable</w:delText>
          </w:del>
          <w:ins w:id="130" w:author="Claude" w:date="2026-02-20T00:00:00Z">
            <w:t>high priority, and applicable</w:t>
          </w:ins>
           in their state context. Designing outcomes-based systems that reflect the full public value of higher education thus requires a nuanced conversation about what "outcomes" and "return on investment" mean to different stakeholders.
        </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w:del w:id="131" w:author="Claude" w:date="2026-02-20T00:00:00Z">
            <w:delText>Each aspect also includes</w:delText>
          </w:del>
          <w:ins w:id="131" w:author="Claude" w:date="2026-02-20T00:00:00Z">
            <w:t>Each section also includes</w:t>
          </w:ins>
           an example of an existing outcomes-based formula that was crafted creatively or thoughtfully to meet that state’s priorities. These are not necessarily exemplars, but can 
          <w:del w:id="132" w:author="Claude" w:date="2026-02-20T00:00:00Z">
            <w:delText>help to highlight</w:delText>
          </w:del>
          <w:ins w:id="132" w:author="Claude" w:date="2026-02-20T00:00:00Z">
            <w:t>help highlight</w:t>
          </w:ins>
           unconventional or newer approaches for consideration. At the end of this section 
          <w:del w:id="133" w:author="Claude" w:date="2026-02-20T00:00:00Z">
            <w:delText>is also a list</w:delText>
          </w:del>
          <w:ins w:id="133" w:author="Claude" w:date="2026-02-20T00:00:00Z">
            <w:t>is a list</w:t>
          </w:ins>
           of questions to guide interested stakeholders in thinking holistically about outcomes-based model design.
        </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
          The first and most critical step in designing an outcomes-based funding model 
          <w:del w:id="134" w:author="Claude" w:date="2026-02-20T00:00:00Z">
            <w:delText>is aligning stakeholders</w:delText>
          </w:del>
          <w:ins w:id="134" w:author="Claude" w:date="2026-02-20T00:00:00Z">
            <w:t>is to align stakeholders</w:t>
          </w:in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w:del w:id="136" w:author="Claude" w:date="2026-02-20T00:00:00Z">
            <w:delText>may blunt any incentive</w:delText>
          </w:del>
          <w:ins w:id="136" w:author="Claude" w:date="2026-02-20T00:00:00Z">
            <w:t>could blunt any incentive</w:t>
          </w:ins>
           to 
          <w:del w:id="135" w:author="Claude" w:date="2026-02-20T00:00:00Z">
            <w:delText>move the needle on any one outcome</w:delText>
          </w:del>
          <w:ins w:id="135" w:author="Claude" w:date="2026-02-20T00:00:00Z">
            <w:t>drive improvement on any single outcome</w:t>
          </w:ins>
           as institutions spread their efforts thin trying to satisfy competing demands.
        </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
                Example: 
                <w:del w:id="137" w:author="Claude" w:date="2026-02-20T00:00:00Z">
                  <w:delText>Texas's revamped</w:delText>
                </w:del>
                <w:ins w:id="137" w:author="Claude" w:date="2026-02-20T00:00:00Z">
                  <w:t>Texas' revamped</w:t>
                </w:ins>
                 two-year formula links funding directly to state policy goals by prioritizing high-value credentials.
              </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
          While traditional 
          <w:del w:id="138" w:author="Claude" w:date="2026-02-20T00:00:00Z">
            <w:delText>metrics like completion</w:delText>
          </w:del>
          <w:ins w:id="138" w:author="Claude" w:date="2026-02-20T00:00:00Z">
            <w:t>metrics, such as completion</w:t>
          </w:ins>
           rates and time to degree remain important, the field’s definition of outcome metrics is evolving as stakeholders look for other ways to 
          <w:commentRangeStart w:id="5"/>
          measure successfully achieving a goal
          <w:commentRangeEnd w:id="5"/>
          <w:r>
            <w:rPr>
              <w:rStyle w:val="CommentReference"/>
            </w:rPr>
            <w:annotationRef/>
          </w:r>
          .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
        </w:t>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r>
              <w:rPr>
                <w:b/>
                <w:bCs/>
              </w:rPr>
              <w:t>
                Example: Indiana’s revised funding model for both two- and four-year institutions recognizes disparate declines in outcomes for 
                <w:commentRangeStart w:id="6"/>
                low-income and adult students
                <w:commentRangeEnd w:id="6"/>
                <w:r>
                  <w:rPr>
                    <w:rStyle w:val="CommentReference"/>
                  </w:rPr>
                  <w:annotationRef/>
                </w:r>
                .
              </w:t>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w:t>
      </w:r>
      <w:r>
        <w:lastRenderedPageBreak/>
        <w:t>be included to achieve those results. Institutions facing enrollment declines or changing demographics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r>
              <w:t>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accreditors as measured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r>
              <w:t>business/industry</w:t>
            </w:r>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
          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w:del w:id="139" w:author="Claude" w:date="2026-02-20T00:00:00Z">
            <w:delText>don't capture</w:delText>
          </w:del>
          <w:ins w:id="139" w:author="Claude" w:date="2026-02-20T00:00:00Z">
            <w:t>do not capture</w:t>
          </w:ins>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w:del w:id="140" w:author="Claude" w:date="2026-02-20T00:00:00Z">
            <w:delText>isn't one</w:delText>
          </w:del>
          <w:ins w:id="140" w:author="Claude" w:date="2026-02-20T00:00:00Z">
            <w:t>is not one</w:t>
          </w:ins>
           right way to design an outcomes-based model, and that thoughtful experimentation with new approaches may better align funding with the multifaceted goals of higher education.
        </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
          The metrics themselves are only part of the story: How those metrics are used can significantly alter both funding levels and institutional behavior. 
          <w:del w:id="141" w:author="Claude" w:date="2026-02-20T00:00:00Z">
            <w:delText>Different methods of calculation</w:delText>
          </w:del>
          <w:ins w:id="141" w:author="Claude" w:date="2026-02-20T00:00:00Z">
            <w:t>Different calculation methods</w:t>
          </w:ins>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w:del w:id="142" w:author="Claude" w:date="2026-02-20T00:00:00Z">
            <w:delText>might have a premium compared to other students</w:delText>
          </w:del>
          <w:ins w:id="142" w:author="Claude" w:date="2026-02-20T00:00:00Z">
            <w:t>could carry a premium compared to those of other students</w:t>
          </w:ins>
          . Early research has found that premiums for science, technology, engineering, and math (STEM) fields have led to 
          <w:del w:id="143" w:author="Claude" w:date="2026-02-20T00:00:00Z">
            <w:delText>increases in credentials in those</w:delText>
          </w:del>
          <w:ins w:id="143" w:author="Claude" w:date="2026-02-20T00:00:00Z">
            <w:t>increased credentials in those</w:t>
          </w:ins>
           fields.
        </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r>
        <w:t>
          Distribution methods — 
          <w:del w:id="144" w:author="Claude" w:date="2026-02-20T00:00:00Z">
            <w:delText>or, how funding</w:delText>
          </w:del>
          <w:ins w:id="144" w:author="Claude" w:date="2026-02-20T00:00:00Z">
            <w:t>or how funding</w:t>
          </w:ins>
           is allocated after metrics are calculated — also matter. In some states, 
          <w:del w:id="145" w:author="Claude" w:date="2026-02-20T00:00:00Z">
            <w:delText>funding is distributed based</w:delText>
          </w:del>
          <w:ins w:id="145" w:author="Claude" w:date="2026-02-20T00:00:00Z">
            <w:t>funds are distributed based</w:t>
          </w:ins>
           on an institution's individual performance relative to other institutions in the state. This approach incentivizes cross-institution competition, 
          <w:del w:id="146" w:author="Claude" w:date="2026-02-20T00:00:00Z">
            <w:delText>which may drive higher outcomes but could also discourage</w:delText>
          </w:del>
          <w:ins w:id="146" w:author="Claude" w:date="2026-02-20T00:00:00Z">
            <w:t>which can drive higher outcomes but also discourage</w:t>
          </w:ins>
           statewide collaboration. Other states opt to compare IHEs’ current metrics against their past performance, to account for 
          <w:del w:id="147" w:author="Claude" w:date="2026-02-20T00:00:00Z">
            <w:delText>variety in institutional context</w:delText>
          </w:del>
          <w:ins w:id="147" w:author="Claude" w:date="2026-02-20T00:00:00Z">
            <w:t>variations in institutional contexts</w:t>
          </w:ins>
          . If institutions are competing against themselves, leaders may feel as though it is more realistic to drive increases in student outcomes, rather than competing with an 
          <w:del w:id="148" w:author="Claude" w:date="2026-02-20T00:00:00Z">
            <w:delText>IHE who might</w:delText>
          </w:del>
          <w:ins w:id="148" w:author="Claude" w:date="2026-02-20T00:00:00Z">
            <w:t>IHE that might</w:t>
          </w:ins>
           have different population demographics or local revenue bases.
        </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w:del w:id="149" w:author="Claude" w:date="2026-02-20T00:00:00Z">
                  <w:delText>each other rather</w:delText>
                </w:del>
                <w:ins w:id="149" w:author="Claude" w:date="2026-02-20T00:00:00Z">
                  <w:t>one another rather</w:t>
                </w:ins>
                 than working toward shared statewide goals.
              </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
          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w:del w:id="150" w:author="Claude" w:date="2026-02-20T00:00:00Z">
            <w:delText>rather than improving students</w:delText>
          </w:del>
          <w:ins w:id="150" w:author="Claude" w:date="2026-02-20T00:00:00Z">
            <w:t>rather than improve students</w:t>
          </w:ins>
          ’ experiences and outcomes. 
        </w:t>
      </w:r>
    </w:p>
    <w:p w14:paraId="39246E85" w14:textId="77777777" w:rsidR="00621651" w:rsidRDefault="00621651"/>
    <w:p w14:paraId="45B0BA1C" w14:textId="77777777" w:rsidR="00621651" w:rsidRDefault="00000000">
      <w:r>
        <w:t>
          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w:del w:id="151" w:author="Claude" w:date="2026-02-20T00:00:00Z">
            <w:delText>align budgets and programs</w:delText>
          </w:del>
          <w:ins w:id="151" w:author="Claude" w:date="2026-02-20T00:00:00Z">
            <w:t>align their budgets and programs</w:t>
          </w:ins>
           with new requirements. Finally, states should plan continuous improvement cycles to evaluate and refine their formulas over time. Only by tracking data and 
          <w:del w:id="152" w:author="Claude" w:date="2026-02-20T00:00:00Z">
            <w:delText>analyzing change over</w:delText>
          </w:del>
          <w:ins w:id="152" w:author="Claude" w:date="2026-02-20T00:00:00Z">
            <w:t>analyzing changes over</w:t>
          </w:ins>
           time 
          <w:del w:id="153" w:author="Claude" w:date="2026-02-20T00:00:00Z">
            <w:delText>will stakeholders learn</w:delText>
          </w:del>
          <w:ins w:id="153" w:author="Claude" w:date="2026-02-20T00:00:00Z">
            <w:t>will stakeholders be able to learn</w:t>
          </w:ins>
           whether an outcomes-based funding model has achieved its goals.
        </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
                In 2023, Oregon redesigned its community college formula to add two student-focused 
                <w:del w:id="164" w:author="Claude" w:date="2026-02-20T00:00:00Z">
                  <w:delText>components—Student</w:delText>
                </w:del>
                <w:ins w:id="164" w:author="Claude" w:date="2026-02-20T00:00:00Z">
                  <w:t>components — Student</w:t>
                </w:ins>
                 Support and Student Success — 
                <w:commentRangeStart w:id="7"/>
                prioritizing low-income, adult, career and technical education
                <w:commentRangeEnd w:id="7"/>
                <w:r>
                  <w:rPr>
                    <w:rStyle w:val="CommentReference"/>
                  </w:rPr>
                  <w:annotationRef/>
                </w:r>
                , and underrepresented learners, with a long-run target of dedicating 10% of the Community College Support Fund (CCSF) to these areas.
              </w:t>
            </w:r>
            <w:r>
              <w:rPr>
                <w:vertAlign w:val="superscript"/>
              </w:rPr>
              <w:footnoteReference w:id="56"/>
            </w:r>
            <w:r>
              <w:t xml:space="preserve">
                 To protect stability, the state is phasing in the 
                <w:del w:id="154" w:author="Claude" w:date="2026-02-20T00:00:00Z">
                  <w:delText>outcomes components</w:delText>
                </w:del>
                <w:ins w:id="154" w:author="Claude" w:date="2026-02-20T00:00:00Z">
                  <w:t>outcomes-based component</w:t>
                </w:ins>
                 over five years, from $12.5 million in FY25 to $37 million in FY29.
              </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w:del w:id="155" w:author="Claude" w:date="2026-02-20T00:00:00Z">
                  <w:delText>reviews will continue every</w:delText>
                </w:del>
                <w:ins w:id="155" w:author="Claude" w:date="2026-02-20T00:00:00Z">
                  <w:t>reviews will occur every</w:t>
                </w:ins>
                 five years.
              </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
          As states contemplate whether to adopt or revise outcomes-based funding models, several questions can help 
          <w:del w:id="156" w:author="Claude" w:date="2026-02-20T00:00:00Z">
            <w:delText>guide discussion and</w:delText>
          </w:del>
          <w:ins w:id="156" w:author="Claude" w:date="2026-02-20T00:00:00Z">
            <w:t>guide discussions and</w:t>
          </w:ins>
           decision-making:
        </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
          Given a state’s specific context, how much funding is appropriate for incentivizing 
          <w:del w:id="157" w:author="Claude" w:date="2026-02-20T00:00:00Z">
            <w:delText>behavior change without</w:delText>
          </w:del>
          <w:ins w:id="157" w:author="Claude" w:date="2026-02-20T00:00:00Z">
            <w:t>behavioral change without</w:t>
          </w:ins>
           adverse effects?
        </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
          Ultimately, designing an effective funding model that accounts for outcomes is a balancing act. States must select metrics that align with clearly articulated goals while avoiding an overwhelming number of 
          <w:del w:id="158" w:author="Claude" w:date="2026-02-20T00:00:00Z">
            <w:delText>measures that dilute focus</w:delText>
          </w:del>
          <w:ins w:id="158" w:author="Claude" w:date="2026-02-20T00:00:00Z">
            <w:t>measures, which can dilute focus</w:t>
          </w:ins>
          . They must decide whether to reward absolute performance, improvement, or 
          <w:del w:id="159" w:author="Claude" w:date="2026-02-20T00:00:00Z">
            <w:delText>some combination of both</w:delText>
          </w:del>
          <w:ins w:id="159" w:author="Claude" w:date="2026-02-20T00:00:00Z">
            <w:t>a combination of both</w:t>
          </w:ins>
          . Calculation methods and distribution approaches need to be transparent enough for IHEs to understand how their actions 
          <w:del w:id="160" w:author="Claude" w:date="2026-02-20T00:00:00Z">
            <w:delText>translate into funding yet</w:delText>
          </w:del>
          <w:ins w:id="160" w:author="Claude" w:date="2026-02-20T00:00:00Z">
            <w:t>translate into funding, yet</w:t>
          </w:ins>
           sophisticated enough to account for differences 
          <w:del w:id="161" w:author="Claude" w:date="2026-02-20T00:00:00Z">
            <w:delText>in institutional context and</w:delText>
          </w:del>
          <w:ins w:id="161" w:author="Claude" w:date="2026-02-20T00:00:00Z">
            <w:t>in institutional contexts and</w:t>
          </w:ins>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
        </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
          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del w:id="162" w:author="Claude" w:date="2026-02-20T00:00:00Z">
            <w:delText>When designed and implemented poorly</w:delText>
          </w:del>
          <w:ins w:id="162" w:author="Claude" w:date="2026-02-20T00:00:00Z">
            <w:t>When poorly designed and implemented</w:t>
          </w:ins>
          ,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del w:id="163" w:author="Claude" w:date="2026-02-20T00:00:00Z">
            <w:delText>benefitting both</w:delText>
          </w:del>
          <w:ins w:id="163" w:author="Claude" w:date="2026-02-20T00:00:00Z">
            <w:t>benefiting both</w:t>
          </w:ins>
           students and taxpayers.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 w:id="4"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Structural: First sidebar is labeled 'Sidebar 1' but this one has no number. Consider labeling 'Sidebar 2' for consistency.</w:t>
      </w:r>
    </w:p>
  </w:comment>
  <w:comment w:id="5"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Clarity: 'measure successfully achieving a goal' is awkward. Consider 'measure success' or 'measure goal attainment.'</w:t>
      </w:r>
    </w:p>
  </w:comment>
  <w:comment w:id="6"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Inclusive Language: Bellwether style prefers 'students from low-income households.' If this reflects Indiana's official metric terminology, consider noting that.</w:t>
      </w:r>
    </w:p>
  </w:comment>
  <w:comment w:id="7" w:author="Claude" w:date="2026-02-20T00:00:00Z" w:initials="C">
    <w:p w14:paraId="12345678"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Clarity: this list is hard to parse. Consider: 'prioritizing low-income and adult students, those in career and technical education, and underrepresented learners.'</w:t>
      </w:r>
    </w:p>
  </w:comment>
  <w:comment w:id="8"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verify author's last name — 'Caroll' may be 'Carroll.'</w:t>
      </w:r>
    </w:p>
  </w:comment>
  <w:comment w:id="9"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unmatched closing parenthesis in 'HEI)' — should be 'HEI' or '(HEI).'</w:t>
      </w:r>
    </w:p>
  </w:comment>
  <w:comment w:id="10" w:author="Claude" w:date="2026-02-20T00:00:00Z" w:initials="C">
    <w:p w14:paraId="8765432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Factual Flag: the comma and closing quotation mark after 'Context' appear to be italicized.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w:commentRangeStart w:id="10"/>
          Context
        </w:t>
      </w:r>
      <w:r>
        <w:rPr>
          <w:i/>
          <w:commentRangeEnd w:id="10"/>
          <w:r>
            <w:rPr>
              <w:rStyle w:val="CommentReference"/>
            </w:rPr>
            <w:annotationRef/>
          </w:r>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commentRangeStart w:id="8"/>
          Will Caroll
          <w:commentRangeEnd w:id="8"/>
          <w:r>
            <w:rPr>
              <w:rStyle w:val="CommentReference"/>
            </w:rPr>
            <w:annotationRef/>
          </w:r>
          , "Investing in Value: Return on Investment and Workforce Success in State Postsecondary Funding." HCM Strategists. 2025. 
        </w:t>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w:commentRangeStart w:id="9"/>
          in HEI)
          <w:commentRangeEnd w:id="9"/>
          <w:r>
            <w:rPr>
              <w:rStyle w:val="CommentReference"/>
            </w:rPr>
            <w:annotationRef/>
          </w:r>
          ,” Ohio Department of Education, July 2024, 
        </w:t>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