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Pr>
                <w:color w:val="000000"/>
                <w:sz w:val="28"/>
                <w:szCs w:val="28"/>
              </w:rPr>
              <w:t>Introduction</w:t>
            </w:r>
            <w:r>
              <w:rPr>
                <w:color w:val="000000"/>
                <w:sz w:val="28"/>
                <w:szCs w:val="28"/>
              </w:rPr>
              <w:tab/>
              <w:t>1</w:t>
            </w:r>
          </w:hyperlink>
        </w:p>
        <w:p w14:paraId="2CA89BE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482D8AFD"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r>
            <w:r>
              <w:rPr>
                <w:color w:val="000000"/>
                <w:sz w:val="24"/>
                <w:szCs w:val="24"/>
              </w:rPr>
              <w:tab/>
              <w:t>3</w:t>
            </w:r>
          </w:hyperlink>
        </w:p>
        <w:p w14:paraId="1639D4D1"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r>
            <w:r>
              <w:rPr>
                <w:color w:val="000000"/>
                <w:sz w:val="24"/>
                <w:szCs w:val="24"/>
              </w:rPr>
              <w:tab/>
              <w:t>3</w:t>
            </w:r>
          </w:hyperlink>
        </w:p>
        <w:p w14:paraId="43A625A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w14:paraId="74ADEA8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73E796F9"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697B4F6" w14:textId="77777777" w:rsidR="00621651" w:rsidRDefault="00000000">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effort to show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The goal of this primer is to provide a nuanced but accessible introduction to outcomes-based funding in state postsecondary finance. It reviews where outcomes-based models sit in the broader landscape of state higher education finance, synthesizes extant research,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it is a resource for anyone — policymakers, advocates, funders, or others — who seeks to understand the opportunities and challenges associated with outcomes-based models. The goal is to equip decision-makers with the knowledge needed to make informed decisions about whether and how to incorporate outcomes-based elements into their state's funding formula.</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institutional initiatives, and personnel costs.</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Over time, many states have pivoted to use funding formulas (and many with increasing numbers of inputs).</w:t>
      </w:r>
      <w:r>
        <w:rPr>
          <w:vertAlign w:val="superscript"/>
        </w:rPr>
        <w:footnoteReference w:id="11"/>
      </w:r>
      <w:r>
        <w:t xml:space="preserve"> These formulas were developed to a) reduce political influence and volatility, and b) distribute funding in a fairer, more rational way.</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As of 2025, more than 30 states distribute some level of funding through an outcomes-based model.</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r>
              <w:rPr>
                <w:b/>
                <w:bCs/>
              </w:rPr>
              <w:t>Table. Examples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r>
      <w:r>
        <w:lastRenderedPageBreak/>
        <w:t>funding to outcomes (Table</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Policymakers interested in outcomes-based funding often hold common goals.</w:t>
      </w:r>
    </w:p>
    <w:p w14:paraId="5E8E10EA" w14: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accountability practices to public investments.</w:t>
      </w:r>
    </w:p>
    <w:p w14:paraId="0B2BB947" w14:textId="77777777" w:rsidR="00621651" w:rsidRDefault="00621651"/>
    <w:p w14:paraId="276F8B39" w14:textId="77777777" w:rsidR="00621651" w:rsidRDefault="00000000">
      <w:r>
        <w:t>Some see outcomes-based funding as a tool to achieve broader goals linked to the public good. Advocates in Illinois, for example, have worked to design elements of funding adequacy into their proposed formula, recognizing that under-resourced institutions may need additional support to improve outcomes.</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Evidence on the effectiveness of these models, however, remains mixed across different designs and implementations.</w:t>
      </w:r>
    </w:p>
    <w:p w14:paraId="7A2CAEBB" w14:textId="77777777" w:rsidR="00621651" w:rsidRDefault="00000000">
      <w:r>
        <w:t>Despite the growing enthusiasm for outcomes-based funding, evidence of its effectiveness remains mixed. Across 12 quantitative evaluations of outcomes-based state models,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r>
        <w:t xml:space="preserve">There could be several potential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fail to move the needle. </w:t>
      </w:r>
    </w:p>
    <w:p w14:paraId="1DA83C62" w14:textId="77777777" w:rsidR="00621651" w:rsidRDefault="00621651"/>
    <w:p w14:paraId="5A214F72" w14:textId="77777777" w:rsidR="00621651" w:rsidRDefault="00000000">
      <w:r>
        <w:t>Another factor that affects the evidence pool is the wide variation in formula design. A study investigating just one outcome metric — certificate awards — found substantial variation in how states defined and used that metric for funding allocations.</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may serve as a strategy to push schools to increase their focus on student outcomes.</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r>
              <w:rPr>
                <w:b/>
                <w:bCs/>
              </w:rPr>
              <w:t>Sidebar: Outcomes-Based Funding as a Policy Tool</w:t>
            </w:r>
          </w:p>
          <w:p w14:paraId="6CD0221A" w14:textId="77777777" w:rsidR="00621651" w:rsidRDefault="00000000">
            <w:r>
              <w:t>Using outcomes-based funding as an incentive tool assumes that institutions have the capacity to respond but lack motivation. However, poor performance can also be the result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In these cases, what is the appropriate state role in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035CE88A" w14:textId="77777777" w:rsidR="00621651" w:rsidRDefault="00621651"/>
          <w:p w14:paraId="1E51A8B6" w14:textId="77777777" w:rsidR="00621651" w:rsidRDefault="00000000">
            <w:r>
              <w:t>Moreover, there is the question of whether financial incentives are the right mechanism to change institutional behavior at all. Research suggests that government operates differently from business contexts,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and filling talent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both for historically marginalized groups and students who face unique obstacles.</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communicate, but they risk reinforcing a transactional view of higher education that ignores its broader civic and social purposes. Broader definitions capture the full range of returns but are harder to quantify and tie directly to funding.</w:t>
      </w:r>
    </w:p>
    <w:p w14:paraId="4F3E2020" w14:textId="77777777" w:rsidR="00621651" w:rsidRDefault="00621651"/>
    <w:p w14:paraId="1D6349F6" w14:textId="77777777" w:rsidR="00621651" w:rsidRDefault="00000000">
      <w:r>
        <w:t>Moreover, there may be trade-offs when different priorities are in competition. For example, a funding formula that heavily rewards high-earning fields like engineering may inadvertently discourage institutions from investing in student success programs or promoting critical, but lower-earning fields (e.g., teaching).</w:t>
      </w:r>
    </w:p>
    <w:p w14:paraId="05193026" w14:textId="77777777" w:rsidR="00621651" w:rsidRDefault="00621651"/>
    <w:p w14:paraId="3258C3C0" w14:textId="77777777" w:rsidR="00621651" w:rsidRDefault="00000000">
      <w:r>
        <w:t>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Each aspect also includes an example of an existing outcomes-based formula that was crafted creatively or thoughtfully to meet that state’s priorities. These are not necessarily exemplars, but can help to highlight unconventional or newer approaches for consideration. At the end of this section is also a list of questions to guide interested stakeholders in thinking holistically about outcomes-based model design.</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The first and most critical step in designing an outcomes-based funding model is aligning stakeholders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may blunt any incentive to move the needle on any one outcome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Example: Texas's revamped two-year formula links funding directly to state policy goals by prioritizing high-value credentials.</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While traditional metrics like completion rates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r>
              <w:rPr>
                <w:b/>
                <w:bCs/>
              </w:rPr>
              <w:t>Example: Indiana’s revised funding model for both two- and four-year institutions recognizes disparate declines in outcomes for low-income and adult students.</w:t>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w:t>
      </w:r>
      <w:r>
        <w:lastRenderedPageBreak/>
        <w:t>be included to achieve those results. Institutions facing enrollment declines or changing demographics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r>
              <w:t>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accreditors as measured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 xml:space="preserve">the metric requires institutions to certify compliance with four out of five "best practices" within three categories: economic development and </w:t>
            </w:r>
            <w:r>
              <w:t>business/industry</w:t>
            </w:r>
            <w:r>
              <w:t xml:space="preserve">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don't capture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isn't one right way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The metrics themselves are only part of the story: How those metrics are used can significantly alter both funding levels and institutional behavior. Different methods of calculation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increases in credentials in those fields.</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r>
        <w:t>Distribution methods — or, how funding is allocated after metrics are calculated — also matter. In some states, funding is distributed based on an institution's individual performance relative to other institutions in the state. This approach incentivizes cross-institution competition, which may drive higher outcomes but could also discourage statewide collaboration. Other states opt to compare IHEs’ current metrics against their past performance, to account for variety in institutional context. If institutions are competing against themselves, leaders may feel as though it is more realistic to drive increases in student outcomes, rather than competing with an IHE who might have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each other rather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14:paraId="39246E85" w14:textId="77777777" w:rsidR="00621651" w:rsidRDefault="00621651"/>
    <w:p w14:paraId="45B0BA1C" w14:textId="77777777" w:rsidR="00621651" w:rsidRDefault="00000000">
      <w:r>
        <w:t>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align budgets and programs with new requirements. Finally, states should plan continuous improvement cycles to evaluate and refine their formulas over time. Only by tracking data and analyzing change over time will stakeholders learn whether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r>
              <w:rPr>
                <w:vertAlign w:val="superscript"/>
              </w:rPr>
              <w:footnoteReference w:id="56"/>
            </w:r>
            <w:r>
              <w:t xml:space="preserve"> To protect stability, the state is phasing in the outcomes components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reviews will continue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As states contemplate whether to adopt or revise outcomes-based funding models, several questions can help guide discussion and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Given a state’s specific context, how much funding is appropriate for incentivizing behavior change without adverse effects?</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Ultimately, designing an effective funding model that accounts for outcomes is a balancing act. States must select metrics that align with clearly articulated goals while avoiding an overwhelming number of measures that dilute focus. They must decide whether to reward absolute performance, improvement, or some combination of both. Calculation methods and distribution approaches need to be transparent enough for IHEs to understand how their actions translate into funding yet sophisticated enough to account for differences in institutional context and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designed and implemented poorly,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benefitting both students and taxpayers.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INTERNAL TEAM: Please refrain from making additional updates to this document until we get it back from Super Copy Editors.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0F432" w14:textId="77777777" w:rsidR="004C00C6" w:rsidRDefault="004C00C6">
      <w:pPr>
        <w:spacing w:line="240" w:lineRule="auto"/>
      </w:pPr>
      <w:r>
        <w:separator/>
      </w:r>
    </w:p>
  </w:endnote>
  <w:endnote w:type="continuationSeparator" w:id="0">
    <w:p w14:paraId="17C22AF3" w14:textId="77777777" w:rsidR="004C00C6" w:rsidRDefault="004C0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05A0D5F-D1EB-5A45-B0C2-87577B281056}"/>
  </w:font>
  <w:font w:name="Courier New">
    <w:panose1 w:val="02070309020205020404"/>
    <w:charset w:val="00"/>
    <w:family w:val="modern"/>
    <w:pitch w:val="fixed"/>
    <w:sig w:usb0="E0002AFF" w:usb1="C0007843" w:usb2="00000009" w:usb3="00000000" w:csb0="000001FF" w:csb1="00000000"/>
    <w:embedRegular r:id="rId2" w:fontKey="{70D60BBE-0E67-3A4B-9934-1151A40597A5}"/>
  </w:font>
  <w:font w:name="Avenir">
    <w:panose1 w:val="02000503020000020003"/>
    <w:charset w:val="00"/>
    <w:family w:val="auto"/>
    <w:pitch w:val="variable"/>
    <w:sig w:usb0="800000AF" w:usb1="5000204A" w:usb2="00000000" w:usb3="00000000" w:csb0="0000009B" w:csb1="00000000"/>
    <w:embedRegular r:id="rId3" w:fontKey="{ADF0AF00-AEB2-684E-B25F-A16EF0536B10}"/>
    <w:embedBold r:id="rId4" w:fontKey="{4AB911C1-5A61-6B44-B4AC-56E8BD1064AE}"/>
    <w:embedItalic r:id="rId5" w:fontKey="{99125A33-0958-3842-893E-FFD165134667}"/>
  </w:font>
  <w:font w:name="Times New Roman">
    <w:panose1 w:val="02020603050405020304"/>
    <w:charset w:val="00"/>
    <w:family w:val="roman"/>
    <w:pitch w:val="variable"/>
    <w:sig w:usb0="E0002EFF" w:usb1="C000785B" w:usb2="00000009" w:usb3="00000000" w:csb0="000001FF" w:csb1="00000000"/>
    <w:embedRegular r:id="rId6" w:fontKey="{EEC108C7-E495-7E4A-B86D-F34015530F4E}"/>
  </w:font>
  <w:font w:name="Garamond">
    <w:panose1 w:val="02020404030301010803"/>
    <w:charset w:val="00"/>
    <w:family w:val="roman"/>
    <w:pitch w:val="variable"/>
    <w:sig w:usb0="00000287" w:usb1="00000002" w:usb2="00000000" w:usb3="00000000" w:csb0="0000009F" w:csb1="00000000"/>
    <w:embedRegular r:id="rId7" w:fontKey="{1D3FF09C-4293-F54F-BFA3-7537F8AA98E5}"/>
    <w:embedBold r:id="rId8" w:fontKey="{59B988D3-90C7-894F-8E30-3CD3570CD286}"/>
  </w:font>
  <w:font w:name="Arial">
    <w:panose1 w:val="020B0604020202020204"/>
    <w:charset w:val="00"/>
    <w:family w:val="swiss"/>
    <w:pitch w:val="variable"/>
    <w:sig w:usb0="E0002AFF" w:usb1="C0007843" w:usb2="00000009" w:usb3="00000000" w:csb0="000001FF" w:csb1="00000000"/>
    <w:embedRegular r:id="rId9" w:fontKey="{7C4BD6E0-2112-8743-8C99-E0B1746F357C}"/>
  </w:font>
  <w:font w:name="Cambria">
    <w:panose1 w:val="02040503050406030204"/>
    <w:charset w:val="00"/>
    <w:family w:val="roman"/>
    <w:pitch w:val="variable"/>
    <w:sig w:usb0="E00002FF" w:usb1="400004FF" w:usb2="00000000" w:usb3="00000000" w:csb0="0000019F" w:csb1="00000000"/>
    <w:embedRegular r:id="rId10" w:fontKey="{9C8156B5-879C-F544-9ECC-AF2ABA5E322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embedRegular r:id="rId11" w:fontKey="{E28F6238-A1DB-0A4F-B85E-EFF004EE8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D215" w14:textId="77777777" w:rsidR="004C00C6" w:rsidRDefault="004C00C6">
      <w:pPr>
        <w:spacing w:line="240" w:lineRule="auto"/>
      </w:pPr>
      <w:r>
        <w:separator/>
      </w:r>
    </w:p>
  </w:footnote>
  <w:footnote w:type="continuationSeparator" w:id="0">
    <w:p w14:paraId="117847F3" w14:textId="77777777" w:rsidR="004C00C6" w:rsidRDefault="004C00C6">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Pr>
            <w:color w:val="6D1E49"/>
            <w:u w:val="single"/>
          </w:rPr>
          <w:t>https://cpe.ky.gov/ourwork/performancefunding.html</w:t>
        </w:r>
      </w:hyperlink>
      <w:r>
        <w:rPr>
          <w:color w:val="000000"/>
        </w:rPr>
        <w:t xml:space="preserve">; “OBF Primer,” Tennessee Comptroller of the Treasury, 2020, </w:t>
      </w:r>
      <w:hyperlink r:id="rId25">
        <w:r>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Will Caroll, "Investing in Value: Return on Investment and Workforce Success in State Postsecondary Funding." HCM Strategists. 2025. </w:t>
      </w:r>
      <w:hyperlink r:id="rId42">
        <w:r>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Pr>
            <w:color w:val="6D1E49"/>
            <w:u w:val="single"/>
          </w:rPr>
          <w:t>https://bellwether.org/wp-content/uploads/2023/04/DollarsAndSense_BetaByBellwether_April2023_Final.pdf</w:t>
        </w:r>
      </w:hyperlink>
      <w:r>
        <w:rPr>
          <w:color w:val="000000"/>
        </w:rPr>
        <w:t xml:space="preserve">; Postsecondary Value Commission, 2021, </w:t>
      </w:r>
      <w:hyperlink r:id="rId44">
        <w:r>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in HEI),” Ohio Department of Education, July 2024, </w:t>
      </w:r>
      <w:hyperlink r:id="rId72">
        <w:r>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000000">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621651"/>
    <w:rsid w:val="00840391"/>
    <w:rsid w:val="00C353BC"/>
    <w:rsid w:val="00C5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2026-02-19T21:32:00Z</dcterms:created>
  <dcterms:modified xsi:type="dcterms:W3CDTF">2026-02-19T21:32:00Z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