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3BDFD" w14:textId="77777777" w:rsidR="00AD4D0B" w:rsidRDefault="000B731C" w:rsidP="00F075B0">
      <w:pPr>
        <w:pStyle w:val="Title"/>
      </w:pPr>
      <w:r>
        <w:t>Internal Memo</w:t>
      </w:r>
    </w:p>
    <w:p w14:paraId="5A4C3E11" w14:textId="77777777" w:rsidR="0000756C" w:rsidRDefault="000B731C" w:rsidP="00F075B0">
      <w:pPr>
        <w:pStyle w:val="Subtitle"/>
      </w:pPr>
      <w:r>
        <w:t>Literature Review: Charter Schools and Postsecondary Outcomes</w:t>
      </w:r>
    </w:p>
    <w:p w14:paraId="39F603FE" w14:textId="77777777" w:rsidR="0000756C" w:rsidRDefault="0000756C" w:rsidP="0000756C"/>
    <w:p w14:paraId="2E03FDBE" w14:textId="77777777" w:rsidR="003913CB" w:rsidRDefault="003913CB" w:rsidP="0000756C">
      <w:pPr>
        <w:spacing w:after="0" w:line="240" w:lineRule="auto"/>
      </w:pPr>
      <w:r>
        <w:rPr>
          <w:b/>
          <w:bCs/>
        </w:rPr>
        <w:t>TO:</w:t>
      </w:r>
      <w:r>
        <w:t xml:space="preserve"> Julie, David, Keya, and Carrie</w:t>
      </w:r>
    </w:p>
    <w:p w14:paraId="6A2A2D01" w14:textId="77777777" w:rsidR="003913CB" w:rsidRDefault="003913CB" w:rsidP="0000756C">
      <w:pPr>
        <w:spacing w:after="0" w:line="240" w:lineRule="auto"/>
      </w:pPr>
      <w:r>
        <w:rPr>
          <w:b/>
          <w:bCs/>
        </w:rPr>
        <w:t>FROM:</w:t>
      </w:r>
      <w:r>
        <w:t xml:space="preserve"> Marisa</w:t>
      </w:r>
    </w:p>
    <w:p w14:paraId="6A2A2D02" w14:textId="77777777" w:rsidR="003913CB" w:rsidRDefault="003913CB" w:rsidP="0000756C">
      <w:pPr>
        <w:spacing w:after="0" w:line="240" w:lineRule="auto"/>
      </w:pPr>
      <w:r>
        <w:rPr>
          <w:b/>
          <w:bCs/>
        </w:rPr>
        <w:t>DATE:</w:t>
      </w:r>
      <w:r>
        <w:t xml:space="preserve"> February 20, 2026</w:t>
      </w:r>
    </w:p>
    <w:p w14:paraId="6A2A2D03" w14:textId="77777777" w:rsidR="003913CB" w:rsidRDefault="003913CB" w:rsidP="0000756C">
      <w:pPr>
        <w:spacing w:after="0" w:line="240" w:lineRule="auto"/>
      </w:pPr>
      <w:r>
        <w:rPr>
          <w:b/>
          <w:bCs/>
        </w:rPr>
        <w:t>RE:</w:t>
      </w:r>
      <w:r>
        <w:t xml:space="preserve"> Summary of Recent Literature on Charter Schools and College Outcomes</w:t>
      </w:r>
    </w:p>
    <w:p w14:paraId="6A2A2D04" w14:textId="77777777" w:rsidR="003913CB" w:rsidRDefault="003913CB" w:rsidP="0000756C">
      <w:pPr>
        <w:pBdr>
          <w:bottom w:val="single" w:sz="6" w:space="1" w:color="6D1E4A"/>
        </w:pBdr>
      </w:pPr>
    </w:p>
    <w:p w14:paraId="6A2A2D05" w14:textId="77777777" w:rsidR="003913CB" w:rsidRDefault="003913CB" w:rsidP="0000756C"/>
    <w:p w14:paraId="0DE606D9" w14:textId="77777777" w:rsidR="00A70518" w:rsidRDefault="0042187F" w:rsidP="0042187F">
      <w:pPr>
        <w:pStyle w:val="Heading1"/>
        <w:rPr>
          <w:color w:val="6D1E49" w:themeColor="background2"/>
        </w:rPr>
      </w:pPr>
      <w:r>
        <w:rPr>
          <w:color w:val="6D1E49" w:themeColor="background2"/>
        </w:rPr>
        <w:t>Summary</w:t>
      </w:r>
    </w:p>
    <w:p w14:paraId="6A2A2D10" w14:textId="77777777" w:rsidR="003913CB" w:rsidRDefault="003913CB" w:rsidP="0000756C">
      <w:r>
        <w:t>This memo synthesizes findings from five recent studies examining the relationship between charter school attendance and postsecondary outcomes. The research covers charter schools across Massachusetts, Los Angeles, California, and virtual charter programs in 29 states, spanning topics from academic achievement to college persistence and degree attainment.</w:t>
      </w:r>
    </w:p>
    <w:p w14:paraId="6A2A2D11" w14:textId="77777777" w:rsidR="003913CB" w:rsidRDefault="003913CB" w:rsidP="0000756C">
      <w:r>
        <w:t>The overall picture is mixed. Studies of high-quality charters in local contexts—particularly in Massachusetts and Los Angeles—find positive effects on college enrollment, persistence, and attainment. However, research on virtual charters and the broader California charter sector finds lower rates of college matriculation compared to traditional public school peers. Across the board, charter attendance tends to shift students toward four-year institutions and away from two-year colleges, and schools with specialized curricula emerge as a recurring factor in stronger outcomes.</w:t>
      </w:r>
    </w:p>
    <w:p w14:paraId="6A2A2D12" w14:textId="77777777" w:rsidR="003913CB" w:rsidRDefault="003913CB" w:rsidP="0000756C"/>
    <w:p w14:paraId="0DE606E0" w14:textId="77777777" w:rsidR="00A70518" w:rsidRDefault="0042187F" w:rsidP="0042187F">
      <w:pPr>
        <w:pStyle w:val="Heading1"/>
        <w:rPr>
          <w:color w:val="6D1E49" w:themeColor="background2"/>
        </w:rPr>
      </w:pPr>
      <w:r>
        <w:rPr>
          <w:color w:val="6D1E49" w:themeColor="background2"/>
        </w:rPr>
        <w:t>Key Findings</w:t>
      </w:r>
    </w:p>
    <w:p w14:paraId="4CA165F0" w14:textId="77777777" w:rsidR="003913CB" w:rsidRDefault="0000756C" w:rsidP="001E272C">
      <w:pPr>
        <w:pStyle w:val="Heading2"/>
        <w:rPr>
          <w:b w:val="0"/>
          <w:bCs w:val="0"/>
          <w:i/>
          <w:iCs/>
          <w:sz w:val="28"/>
          <w:szCs w:val="28"/>
        </w:rPr>
      </w:pPr>
      <w:r>
        <w:rPr>
          <w:b w:val="0"/>
          <w:bCs w:val="0"/>
          <w:i/>
          <w:iCs/>
          <w:sz w:val="28"/>
          <w:szCs w:val="28"/>
        </w:rPr>
        <w:t>College Enrollment: Correlations Are Positive but Mixed</w:t>
      </w:r>
    </w:p>
    <w:p w14:paraId="6A2A2D20" w14:textId="77777777" w:rsidR="003913CB" w:rsidRDefault="003913CB" w:rsidP="0000756C">
      <w:r>
        <w:t>The charter sector has seen increasing average college-going rates over time, driven largely by high-performing schools that pull up the mean despite a substantial number of charters with low-to-middling matriculation (Renzulli et al. 2024). This variation is evident in locally focused studies:</w:t>
      </w:r>
    </w:p>
    <w:p w14:paraId="6A2A2D21" w14:textId="77777777" w:rsidR="003913CB" w:rsidRDefault="003913CB" w:rsidP="0000756C">
      <w:pPr>
        <w:numPr>
          <w:ilvl w:val="0"/>
          <w:numId w:val="1"/>
        </w:numPr>
      </w:pPr>
      <w:r>
        <w:rPr>
          <w:b/>
          <w:bCs/>
        </w:rPr>
        <w:t>Massachusetts:</w:t>
      </w:r>
      <w:r>
        <w:t xml:space="preserve"> Both urban and nonurban charter students enroll in four-year colleges at greater rates than peers. Urban charter attendance boosts immediate four-year enrollment from 39% to 45%; nonurban charter attendance boosts it from 53% to 62% (Cohodes &amp; Pineda 2024).</w:t>
      </w:r>
    </w:p>
    <w:p w14:paraId="6A2A2D22" w14:textId="77777777" w:rsidR="003913CB" w:rsidRDefault="003913CB" w:rsidP="0000756C">
      <w:pPr>
        <w:numPr>
          <w:ilvl w:val="0"/>
          <w:numId w:val="1"/>
        </w:numPr>
      </w:pPr>
      <w:r>
        <w:rPr>
          <w:b/>
          <w:bCs/>
        </w:rPr>
        <w:t>Los Angeles:</w:t>
      </w:r>
      <w:r>
        <w:t xml:space="preserve"> Enrolling in a high-quality charter school increased the probability of on-time college enrollment by 14 percentage points compared to a control mean of 58% (Reber et al. 2023).</w:t>
      </w:r>
    </w:p>
    <w:p w14:paraId="6A2A2D23" w14:textId="77777777" w:rsidR="003913CB" w:rsidRDefault="003913CB" w:rsidP="0000756C">
      <w:pPr>
        <w:numPr>
          <w:ilvl w:val="0"/>
          <w:numId w:val="1"/>
        </w:numPr>
      </w:pPr>
      <w:r>
        <w:rPr>
          <w:b/>
          <w:bCs/>
        </w:rPr>
        <w:t>California (statewide):</w:t>
      </w:r>
      <w:r>
        <w:t xml:space="preserve"> Charter students are less likely to enroll in college compared to traditional school peers, even accounting for student and school characteristics (Luu et al. 2025).</w:t>
      </w:r>
    </w:p>
    <w:p w14:paraId="6A2A2D24" w14:textId="77777777" w:rsidR="003913CB" w:rsidRDefault="003913CB" w:rsidP="0000756C">
      <w:pPr>
        <w:numPr>
          <w:ilvl w:val="0"/>
          <w:numId w:val="1"/>
        </w:numPr>
      </w:pPr>
      <w:r>
        <w:rPr>
          <w:b/>
          <w:bCs/>
        </w:rPr>
        <w:t>Virtual charters:</w:t>
      </w:r>
      <w:r>
        <w:t xml:space="preserve"> Students enter college at significantly lower rates—up to 33 percentage points below high school graduates nationwide. However, researchers caution that selection bias complicates interpretation, as many students enter virtual schools as a last resort (Erickson &amp; Scriber 2024).</w:t>
      </w:r>
    </w:p>
    <w:p w14:paraId="6A2A2D25" w14:textId="77777777" w:rsidR="003913CB" w:rsidRDefault="003913CB" w:rsidP="0000756C"/>
    <w:p w14:paraId="4CA165F1" w14:textId="77777777" w:rsidR="003913CB" w:rsidRDefault="0000756C" w:rsidP="001E272C">
      <w:pPr>
        <w:pStyle w:val="Heading2"/>
        <w:rPr>
          <w:b w:val="0"/>
          <w:bCs w:val="0"/>
          <w:i/>
          <w:iCs/>
          <w:sz w:val="28"/>
          <w:szCs w:val="28"/>
        </w:rPr>
      </w:pPr>
      <w:r>
        <w:rPr>
          <w:b w:val="0"/>
          <w:bCs w:val="0"/>
          <w:i/>
          <w:iCs/>
          <w:sz w:val="28"/>
          <w:szCs w:val="28"/>
        </w:rPr>
        <w:t>Postsecondary Sector: Shift Toward Four-Year Institutions</w:t>
      </w:r>
    </w:p>
    <w:p w14:paraId="6A2A2D30" w14:textId="77777777" w:rsidR="003913CB" w:rsidRDefault="003913CB" w:rsidP="0000756C">
      <w:r>
        <w:t>Across the Massachusetts, California, and Los Angeles studies, charter attendance generally led to increased enrollment at four-year institutions and decreased enrollment at two-year institutions. In Massachusetts, the initial decline in two-year enrollment largely evens out by the second year after projected graduation, while four-year enrollment increases hold (Cohodes &amp; Pineda 2024). In California, charter students are less likely to enroll in community colleges but more likely to enroll in CSU and UC (Luu et al. 2025). High-quality LA charters increased four-year enrollment by 19 percentage points (Reber et al. 2023).</w:t>
      </w:r>
    </w:p>
    <w:p w14:paraId="6A2A2D31" w14:textId="77777777" w:rsidR="003913CB" w:rsidRDefault="003913CB" w:rsidP="0000756C">
      <w:r>
        <w:t>Virtual charter students are an outlier: they are nearly as likely to enroll in a two-year as a four-year institution, in contrast to the national pattern where graduates are almost twice as likely to enroll in a four-year school (Erickson &amp; Scriber 2024).</w:t>
      </w:r>
    </w:p>
    <w:p w14:paraId="6A2A2D32" w14:textId="77777777" w:rsidR="003913CB" w:rsidRDefault="003913CB" w:rsidP="0000756C">
      <w:r>
        <w:t>The Massachusetts and Los Angeles studies also found that charter attendance increased the likelihood of attending more competitive institutions, though both studies noted the charters in their samples were fairly high-quality (Cohodes &amp; Pineda 2024; Reber et al. 2023).</w:t>
      </w:r>
    </w:p>
    <w:p w14:paraId="6A2A2D33" w14:textId="77777777" w:rsidR="003913CB" w:rsidRDefault="003913CB" w:rsidP="0000756C"/>
    <w:p w14:paraId="4CA165F2" w14:textId="77777777" w:rsidR="003913CB" w:rsidRDefault="0000756C" w:rsidP="001E272C">
      <w:pPr>
        <w:pStyle w:val="Heading2"/>
        <w:rPr>
          <w:b w:val="0"/>
          <w:bCs w:val="0"/>
          <w:i/>
          <w:iCs/>
          <w:sz w:val="28"/>
          <w:szCs w:val="28"/>
        </w:rPr>
      </w:pPr>
      <w:r>
        <w:rPr>
          <w:b w:val="0"/>
          <w:bCs w:val="0"/>
          <w:i/>
          <w:iCs/>
          <w:sz w:val="28"/>
          <w:szCs w:val="28"/>
        </w:rPr>
        <w:t>Intermediary Outcomes: Positive Signals from High-Quality Charters</w:t>
      </w:r>
    </w:p>
    <w:p w14:paraId="6A2A2D40" w14:textId="77777777" w:rsidR="003913CB" w:rsidRDefault="003913CB" w:rsidP="0000756C">
      <w:r>
        <w:t>Research on high-quality charters in local contexts generally finds positive effects on intermediary outcomes related to college readiness:</w:t>
      </w:r>
    </w:p>
    <w:p w14:paraId="6A2A2D41" w14:textId="77777777" w:rsidR="003913CB" w:rsidRDefault="003913CB" w:rsidP="0000756C">
      <w:pPr>
        <w:numPr>
          <w:ilvl w:val="0"/>
          <w:numId w:val="1"/>
        </w:numPr>
      </w:pPr>
      <w:r>
        <w:rPr>
          <w:b/>
          <w:bCs/>
        </w:rPr>
        <w:t>Course rigor:</w:t>
      </w:r>
      <w:r>
        <w:t xml:space="preserve"> Charter attendance is associated with more rigorous coursework in both Massachusetts and Los Angeles, though the specific courses vary by availability. Urban MA charters focus on AP courses and MassCore; nonurban charters emphasize the MassCore curriculum. LA charters increased calculus-taking by 23 percentage points (Cohodes &amp; Pineda 2024; Reber et al. 2023).</w:t>
      </w:r>
    </w:p>
    <w:p w14:paraId="6A2A2D42" w14:textId="77777777" w:rsidR="003913CB" w:rsidRDefault="003913CB" w:rsidP="0000756C">
      <w:pPr>
        <w:numPr>
          <w:ilvl w:val="0"/>
          <w:numId w:val="1"/>
        </w:numPr>
      </w:pPr>
      <w:r>
        <w:rPr>
          <w:b/>
          <w:bCs/>
        </w:rPr>
        <w:t>SAT-taking and scores:</w:t>
      </w:r>
      <w:r>
        <w:t xml:space="preserve"> Urban charter attendance in Massachusetts increases SAT-taking by about 4 percentage points and boosts test scores by 39 points (Cohodes &amp; Pineda 2024).</w:t>
      </w:r>
    </w:p>
    <w:p w14:paraId="6A2A2D43" w14:textId="77777777" w:rsidR="003913CB" w:rsidRDefault="003913CB" w:rsidP="0000756C">
      <w:pPr>
        <w:numPr>
          <w:ilvl w:val="0"/>
          <w:numId w:val="1"/>
        </w:numPr>
      </w:pPr>
      <w:r>
        <w:rPr>
          <w:b/>
          <w:bCs/>
        </w:rPr>
        <w:t>College-going culture:</w:t>
      </w:r>
      <w:r>
        <w:t xml:space="preserve"> High-quality LA charters show higher teacher support and stronger expectations that students will attend college (Reber et al. 2023).</w:t>
      </w:r>
    </w:p>
    <w:p w14:paraId="6A2A2D44" w14:textId="77777777" w:rsidR="003913CB" w:rsidRDefault="003913CB" w:rsidP="0000756C">
      <w:pPr>
        <w:numPr>
          <w:ilvl w:val="0"/>
          <w:numId w:val="1"/>
        </w:numPr>
      </w:pPr>
      <w:r>
        <w:rPr>
          <w:b/>
          <w:bCs/>
        </w:rPr>
        <w:t>High school graduation:</w:t>
      </w:r>
      <w:r>
        <w:t xml:space="preserve"> An outlier—researchers find negligible impacts on graduation rates, and virtual school students are 9.5 percentage points less likely to graduate (Cohodes &amp; Pineda 2024; Erickson &amp; Scriber 2024; Reber et al. 2023).</w:t>
      </w:r>
    </w:p>
    <w:p w14:paraId="6A2A2D45" w14:textId="77777777" w:rsidR="003913CB" w:rsidRDefault="003913CB" w:rsidP="0000756C"/>
    <w:p w14:paraId="4CA165F3" w14:textId="77777777" w:rsidR="003913CB" w:rsidRDefault="0000756C" w:rsidP="001E272C">
      <w:pPr>
        <w:pStyle w:val="Heading2"/>
        <w:rPr>
          <w:b w:val="0"/>
          <w:bCs w:val="0"/>
          <w:i/>
          <w:iCs/>
          <w:sz w:val="28"/>
          <w:szCs w:val="28"/>
        </w:rPr>
      </w:pPr>
      <w:r>
        <w:rPr>
          <w:b w:val="0"/>
          <w:bCs w:val="0"/>
          <w:i/>
          <w:iCs/>
          <w:sz w:val="28"/>
          <w:szCs w:val="28"/>
        </w:rPr>
        <w:t>College Persistence and Degree Attainment</w:t>
      </w:r>
    </w:p>
    <w:p w14:paraId="6A2A2D50" w14:textId="77777777" w:rsidR="003913CB" w:rsidRDefault="003913CB" w:rsidP="0000756C">
      <w:r>
        <w:t>The Massachusetts and Los Angeles studies find positive effects on college persistence and degree completion. In Massachusetts, urban charters increase BA receipt by 4.1 percentage points by year six after projected graduation, while nonurban charters show an even larger boost of 11.4 percentage points. Both charter types increase receipt of a degree of any type by 4 to 6 percentage points (Cohodes &amp; Pineda 2024). In Los Angeles, high-quality charter enrollment increased four-year college persistence by 11 percentage points, though the estimate fell short of statistical significance (Reber et al. 2023).</w:t>
      </w:r>
    </w:p>
    <w:p w14:paraId="6A2A2D51" w14:textId="77777777" w:rsidR="003913CB" w:rsidRDefault="003913CB" w:rsidP="0000756C">
      <w:r>
        <w:t>Reber et al. note an important caveat: the benefits of inducing students into four-year colleges may depend on the quality of the available postsecondary institutions, since more well-resourced institutions generally have higher graduation rates regardless.</w:t>
      </w:r>
    </w:p>
    <w:p w14:paraId="6A2A2D52" w14:textId="77777777" w:rsidR="003913CB" w:rsidRDefault="003913CB" w:rsidP="0000756C"/>
    <w:p w14:paraId="4CA165F4" w14:textId="77777777" w:rsidR="003913CB" w:rsidRDefault="0000756C" w:rsidP="001E272C">
      <w:pPr>
        <w:pStyle w:val="Heading2"/>
        <w:rPr>
          <w:b w:val="0"/>
          <w:bCs w:val="0"/>
          <w:i/>
          <w:iCs/>
          <w:sz w:val="28"/>
          <w:szCs w:val="28"/>
        </w:rPr>
      </w:pPr>
      <w:r>
        <w:rPr>
          <w:b w:val="0"/>
          <w:bCs w:val="0"/>
          <w:i/>
          <w:iCs/>
          <w:sz w:val="28"/>
          <w:szCs w:val="28"/>
        </w:rPr>
        <w:t>Charter School Models and Characteristics</w:t>
      </w:r>
    </w:p>
    <w:p w14:paraId="6A2A2D60" w14:textId="77777777" w:rsidR="003913CB" w:rsidRDefault="003913CB" w:rsidP="0000756C">
      <w:r>
        <w:t>Renzulli et al. (2024) identify five configurations of charter school characteristics associated with consistently high (80%+) college-going rates, though they acknowledge that many high-performing charters fall outside these configurations, suggesting multiple routes to college-going success. A recurring factor across their analysis is a specialized curriculum. Three of the four reduced configurations include a special curricular focus, and the broader decomposition analysis shows that having an alternative or special curriculum predicts much of the gap in college-going rates between sectors.</w:t>
      </w:r>
    </w:p>
    <w:p w14:paraId="6A2A2D61" w14:textId="77777777" w:rsidR="003913CB" w:rsidRDefault="003913CB" w:rsidP="0000756C">
      <w:r>
        <w:t>This is consistent with findings from Cohodes &amp; Pineda (2024), who observe that charters in both urban and nonurban settings boost college-ready curricula and hypothesize that this academic preparation may be a key driver of persistence effects. Notably, multiple charter models—not only “No Excuses” schools—appear capable of producing college gains; nonurban Massachusetts charters operating on alternative models also deliver large boosts to BA attainment.</w:t>
      </w:r>
    </w:p>
    <w:p w14:paraId="6A2A2D62" w14:textId="77777777" w:rsidR="003913CB" w:rsidRDefault="003913CB" w:rsidP="0000756C">
      <w:r>
        <w:t>Renzulli et al. also find that charter schools have become increasingly similar to traditional public schools over time (1999–2011) in terms of size, counselor-student ratios, and academic focus—a trend they characterize as institutional isomorphism. This convergence is associated with rising college-going rates in the charter sector.</w:t>
      </w:r>
    </w:p>
    <w:p w14:paraId="6A2A2D63" w14:textId="77777777" w:rsidR="003913CB" w:rsidRDefault="003913CB" w:rsidP="0000756C"/>
    <w:p w14:paraId="0DE606E1" w14:textId="77777777" w:rsidR="00A70518" w:rsidRDefault="0042187F" w:rsidP="0042187F">
      <w:pPr>
        <w:pStyle w:val="Heading1"/>
        <w:rPr>
          <w:color w:val="6D1E49" w:themeColor="background2"/>
        </w:rPr>
      </w:pPr>
      <w:r>
        <w:rPr>
          <w:color w:val="6D1E49" w:themeColor="background2"/>
        </w:rPr>
        <w:t>Sources</w:t>
      </w:r>
    </w:p>
    <w:p w14:paraId="6A2A2D70" w14:textId="77777777" w:rsidR="003913CB" w:rsidRDefault="003913CB" w:rsidP="0000756C">
      <w:pPr>
        <w:numPr>
          <w:ilvl w:val="0"/>
          <w:numId w:val="1"/>
        </w:numPr>
      </w:pPr>
      <w:r>
        <w:rPr>
          <w:b/>
          <w:bCs/>
        </w:rPr>
        <w:t>Cohodes &amp; Pineda (2024)</w:t>
      </w:r>
      <w:r>
        <w:t xml:space="preserve"> — Impacts of attending urban and nonurban charter schools in Massachusetts on postsecondary outcomes.</w:t>
      </w:r>
    </w:p>
    <w:p w14:paraId="6A2A2D71" w14:textId="77777777" w:rsidR="003913CB" w:rsidRDefault="003913CB" w:rsidP="0000756C">
      <w:pPr>
        <w:numPr>
          <w:ilvl w:val="0"/>
          <w:numId w:val="1"/>
        </w:numPr>
      </w:pPr>
      <w:r>
        <w:rPr>
          <w:b/>
          <w:bCs/>
        </w:rPr>
        <w:t>Erickson &amp; Scriber (2024)</w:t>
      </w:r>
      <w:r>
        <w:t xml:space="preserve"> — Relationship between virtual charter school attendance, achievement, and college enrollment across 29 states.</w:t>
      </w:r>
    </w:p>
    <w:p w14:paraId="6A2A2D72" w14:textId="77777777" w:rsidR="003913CB" w:rsidRDefault="003913CB" w:rsidP="0000756C">
      <w:pPr>
        <w:numPr>
          <w:ilvl w:val="0"/>
          <w:numId w:val="1"/>
        </w:numPr>
      </w:pPr>
      <w:r>
        <w:rPr>
          <w:b/>
          <w:bCs/>
        </w:rPr>
        <w:t>Luu et al. (2025)</w:t>
      </w:r>
      <w:r>
        <w:t xml:space="preserve"> — Charter school student enrollment in California’s three public higher education systems.</w:t>
      </w:r>
    </w:p>
    <w:p w14:paraId="6A2A2D73" w14:textId="77777777" w:rsidR="003913CB" w:rsidRDefault="003913CB" w:rsidP="0000756C">
      <w:pPr>
        <w:numPr>
          <w:ilvl w:val="0"/>
          <w:numId w:val="1"/>
        </w:numPr>
      </w:pPr>
      <w:r>
        <w:rPr>
          <w:b/>
          <w:bCs/>
        </w:rPr>
        <w:t>Reber et al. (2023)</w:t>
      </w:r>
      <w:r>
        <w:t xml:space="preserve"> — Causal effects of enrolling in five high-quality charter schools in Los Angeles on high school and college outcomes.</w:t>
      </w:r>
    </w:p>
    <w:p w14:paraId="6A2A2D74" w14:textId="77777777" w:rsidR="003913CB" w:rsidRDefault="003913CB" w:rsidP="0000756C">
      <w:pPr>
        <w:numPr>
          <w:ilvl w:val="0"/>
          <w:numId w:val="1"/>
        </w:numPr>
      </w:pPr>
      <w:r>
        <w:rPr>
          <w:b/>
          <w:bCs/>
        </w:rPr>
        <w:t>Renzulli et al. (2024)</w:t>
      </w:r>
      <w:r>
        <w:t xml:space="preserve"> — Relationship between charter school characteristics and college-going rates nationally (1999–2011).</w:t>
      </w:r>
    </w:p>
    <w:sectPr w:rsidR="0084239D" w:rsidRPr="0084239D">
      <w:footerReference w:type="even" r:id="rId10"/>
      <w:footerReference w:type="default" r:id="rId11"/>
      <w:headerReference w:type="first" r:id="rId12"/>
      <w:footerReference w:type="first" r:id="rId13"/>
      <w:pgSz w:w="12240" w:h="15840"/>
      <w:pgMar w:top="1440" w:right="1080" w:bottom="1440"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4C1B0" w14:textId="77777777" w:rsidR="001C6799" w:rsidRDefault="001C6799">
      <w:pPr>
        <w:spacing w:line="240" w:lineRule="auto"/>
      </w:pPr>
      <w:r>
        <w:separator/>
      </w:r>
    </w:p>
    <w:p w14:paraId="13F74E2A" w14:textId="77777777" w:rsidR="001C6799" w:rsidRDefault="001C6799"/>
    <w:p w14:paraId="117E50D7" w14:textId="77777777" w:rsidR="001C6799" w:rsidRDefault="001C6799" w:rsidP="00A571F5"/>
  </w:endnote>
  <w:endnote w:type="continuationSeparator" w:id="0">
    <w:p w14:paraId="548A5E2B" w14:textId="77777777" w:rsidR="001C6799" w:rsidRDefault="001C6799">
      <w:pPr>
        <w:spacing w:line="240" w:lineRule="auto"/>
      </w:pPr>
      <w:r>
        <w:continuationSeparator/>
      </w:r>
    </w:p>
    <w:p w14:paraId="5B4B78BA" w14:textId="77777777" w:rsidR="001C6799" w:rsidRDefault="001C6799"/>
    <w:p w14:paraId="796360FE" w14:textId="77777777" w:rsidR="001C6799" w:rsidRDefault="001C6799" w:rsidP="00A571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venir Next LT Pro">
    <w:panose1 w:val="020B0504020202020204"/>
    <w:charset w:val="4D"/>
    <w:family w:val="swiss"/>
    <w:pitch w:val="variable"/>
    <w:sig w:usb0="800000EF" w:usb1="5000204A" w:usb2="00000000" w:usb3="00000000" w:csb0="00000093" w:csb1="00000000"/>
  </w:font>
  <w:font w:name="Garamond">
    <w:panose1 w:val="02020404030301010803"/>
    <w:charset w:val="00"/>
    <w:family w:val="roman"/>
    <w:pitch w:val="variable"/>
    <w:sig w:usb0="00000287" w:usb1="00000002" w:usb2="00000000" w:usb3="00000000" w:csb0="000000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5833275"/>
      <w:docPartObj>
        <w:docPartGallery w:val="Page Numbers (Bottom of Page)"/>
        <w:docPartUnique/>
      </w:docPartObj>
    </w:sdtPr>
    <w:sdtContent>
      <w:p w14:paraId="3EF38420" w14:textId="77777777" w:rsidR="00882B4D" w:rsidRDefault="00882B4D" w:rsidP="0084239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F208995" w14:textId="77777777" w:rsidR="00882B4D" w:rsidRDefault="00882B4D" w:rsidP="00882B4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0"/>
        <w:szCs w:val="20"/>
      </w:rPr>
      <w:id w:val="910898109"/>
      <w:docPartObj>
        <w:docPartGallery w:val="Page Numbers (Bottom of Page)"/>
        <w:docPartUnique/>
      </w:docPartObj>
    </w:sdtPr>
    <w:sdtContent>
      <w:p w14:paraId="5833357C" w14:textId="77777777" w:rsidR="0084239D" w:rsidRPr="0084239D" w:rsidRDefault="0084239D" w:rsidP="000B1C1E">
        <w:pPr>
          <w:pStyle w:val="Footer"/>
          <w:framePr w:wrap="none" w:vAnchor="text" w:hAnchor="margin" w:xAlign="center" w:y="1"/>
          <w:rPr>
            <w:rStyle w:val="PageNumber"/>
            <w:sz w:val="20"/>
            <w:szCs w:val="20"/>
          </w:rPr>
        </w:pPr>
        <w:r w:rsidRPr="0084239D">
          <w:rPr>
            <w:rStyle w:val="PageNumber"/>
            <w:sz w:val="20"/>
            <w:szCs w:val="20"/>
          </w:rPr>
          <w:fldChar w:fldCharType="begin"/>
        </w:r>
        <w:r w:rsidRPr="0084239D">
          <w:rPr>
            <w:rStyle w:val="PageNumber"/>
            <w:sz w:val="20"/>
            <w:szCs w:val="20"/>
          </w:rPr>
          <w:instrText xml:space="preserve"> PAGE </w:instrText>
        </w:r>
        <w:r w:rsidRPr="0084239D">
          <w:rPr>
            <w:rStyle w:val="PageNumber"/>
            <w:sz w:val="20"/>
            <w:szCs w:val="20"/>
          </w:rPr>
          <w:fldChar w:fldCharType="separate"/>
        </w:r>
        <w:r w:rsidRPr="0084239D">
          <w:rPr>
            <w:rStyle w:val="PageNumber"/>
            <w:noProof/>
            <w:sz w:val="20"/>
            <w:szCs w:val="20"/>
          </w:rPr>
          <w:t>2</w:t>
        </w:r>
        <w:r w:rsidRPr="0084239D">
          <w:rPr>
            <w:rStyle w:val="PageNumber"/>
            <w:sz w:val="20"/>
            <w:szCs w:val="20"/>
          </w:rPr>
          <w:fldChar w:fldCharType="end"/>
        </w:r>
      </w:p>
    </w:sdtContent>
  </w:sdt>
  <w:p w14:paraId="3F97C7F0" w14:textId="77777777" w:rsidR="0084239D" w:rsidRDefault="0084239D" w:rsidP="0084239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0"/>
        <w:szCs w:val="20"/>
      </w:rPr>
      <w:id w:val="-640812333"/>
      <w:docPartObj>
        <w:docPartGallery w:val="Page Numbers (Bottom of Page)"/>
        <w:docPartUnique/>
      </w:docPartObj>
    </w:sdtPr>
    <w:sdtContent>
      <w:p w14:paraId="463A631F" w14:textId="77777777" w:rsidR="00D73C35" w:rsidRPr="0084239D" w:rsidRDefault="00D73C35" w:rsidP="000B1C1E">
        <w:pPr>
          <w:pStyle w:val="Footer"/>
          <w:framePr w:wrap="none" w:vAnchor="text" w:hAnchor="margin" w:xAlign="center" w:y="1"/>
          <w:rPr>
            <w:rStyle w:val="PageNumber"/>
            <w:sz w:val="20"/>
            <w:szCs w:val="20"/>
          </w:rPr>
        </w:pPr>
        <w:r w:rsidRPr="0084239D">
          <w:rPr>
            <w:rStyle w:val="PageNumber"/>
            <w:sz w:val="20"/>
            <w:szCs w:val="20"/>
          </w:rPr>
          <w:fldChar w:fldCharType="begin"/>
        </w:r>
        <w:r w:rsidRPr="0084239D">
          <w:rPr>
            <w:rStyle w:val="PageNumber"/>
            <w:sz w:val="20"/>
            <w:szCs w:val="20"/>
          </w:rPr>
          <w:instrText xml:space="preserve"> PAGE </w:instrText>
        </w:r>
        <w:r w:rsidRPr="0084239D">
          <w:rPr>
            <w:rStyle w:val="PageNumber"/>
            <w:sz w:val="20"/>
            <w:szCs w:val="20"/>
          </w:rPr>
          <w:fldChar w:fldCharType="separate"/>
        </w:r>
        <w:r w:rsidRPr="0084239D">
          <w:rPr>
            <w:rStyle w:val="PageNumber"/>
            <w:noProof/>
            <w:sz w:val="20"/>
            <w:szCs w:val="20"/>
          </w:rPr>
          <w:t>1</w:t>
        </w:r>
        <w:r w:rsidRPr="0084239D">
          <w:rPr>
            <w:rStyle w:val="PageNumber"/>
            <w:sz w:val="20"/>
            <w:szCs w:val="20"/>
          </w:rPr>
          <w:fldChar w:fldCharType="end"/>
        </w:r>
      </w:p>
    </w:sdtContent>
  </w:sdt>
  <w:p w14:paraId="48F982EA" w14:textId="77777777" w:rsidR="00B37E47" w:rsidRPr="00A70518" w:rsidRDefault="00B37E47" w:rsidP="00D73C35">
    <w:pPr>
      <w:rPr>
        <w:rFonts w:eastAsia="Avenir Next LT Pro" w:cs="Avenir Next LT Pro"/>
        <w:color w:val="000000" w:themeColor="text1"/>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984B6" w14:textId="77777777" w:rsidR="001C6799" w:rsidRDefault="001C6799">
      <w:pPr>
        <w:spacing w:line="240" w:lineRule="auto"/>
      </w:pPr>
      <w:r>
        <w:separator/>
      </w:r>
    </w:p>
    <w:p w14:paraId="0674E8CD" w14:textId="77777777" w:rsidR="001C6799" w:rsidRDefault="001C6799"/>
    <w:p w14:paraId="4E13BA2B" w14:textId="77777777" w:rsidR="001C6799" w:rsidRDefault="001C6799" w:rsidP="00A571F5"/>
  </w:footnote>
  <w:footnote w:type="continuationSeparator" w:id="0">
    <w:p w14:paraId="71489297" w14:textId="77777777" w:rsidR="001C6799" w:rsidRDefault="001C6799">
      <w:pPr>
        <w:spacing w:line="240" w:lineRule="auto"/>
      </w:pPr>
      <w:r>
        <w:continuationSeparator/>
      </w:r>
    </w:p>
    <w:p w14:paraId="082C982E" w14:textId="77777777" w:rsidR="001C6799" w:rsidRDefault="001C6799"/>
    <w:p w14:paraId="31D6D0CA" w14:textId="77777777" w:rsidR="001C6799" w:rsidRDefault="001C6799" w:rsidP="00A571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00402" w14:textId="77777777" w:rsidR="003835FF" w:rsidRDefault="006A4D63">
    <w:r>
      <w:rPr>
        <w:noProof/>
      </w:rPr>
      <w:drawing>
        <wp:anchor distT="114300" distB="114300" distL="114300" distR="114300" simplePos="0" relativeHeight="251661312" behindDoc="0" locked="0" layoutInCell="1" hidden="0" allowOverlap="1" wp14:anchorId="27A97A0C" wp14:editId="2BBBF44E">
          <wp:simplePos x="0" y="0"/>
          <wp:positionH relativeFrom="page">
            <wp:posOffset>685800</wp:posOffset>
          </wp:positionH>
          <wp:positionV relativeFrom="page">
            <wp:posOffset>571500</wp:posOffset>
          </wp:positionV>
          <wp:extent cx="2666198" cy="666550"/>
          <wp:effectExtent l="0" t="0" r="1270" b="0"/>
          <wp:wrapNone/>
          <wp:docPr id="1" name="image2.png" descr="A picture containing font, screenshot, graphics, text  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png" descr="A picture containing font, screenshot, graphics, text  Description automatically generated"/>
                  <pic:cNvPicPr preferRelativeResize="0"/>
                </pic:nvPicPr>
                <pic:blipFill>
                  <a:blip r:embed="rId1"/>
                  <a:srcRect b="-4444"/>
                  <a:stretch>
                    <a:fillRect/>
                  </a:stretch>
                </pic:blipFill>
                <pic:spPr>
                  <a:xfrm>
                    <a:off x="0" y="0"/>
                    <a:ext cx="2666198" cy="666550"/>
                  </a:xfrm>
                  <a:prstGeom prst="rect">
                    <a:avLst/>
                  </a:prstGeom>
                  <a:ln/>
                </pic:spPr>
              </pic:pic>
            </a:graphicData>
          </a:graphic>
          <wp14:sizeRelH relativeFrom="margin">
            <wp14:pctWidth>0</wp14:pctWidth>
          </wp14:sizeRelH>
          <wp14:sizeRelV relativeFrom="margin">
            <wp14:pctHeight>0</wp14:pctHeight>
          </wp14:sizeRelV>
        </wp:anchor>
      </w:drawing>
    </w:r>
  </w:p>
  <w:p w14:paraId="5456941F" w14:textId="77777777" w:rsidR="003835FF" w:rsidRDefault="003835FF"/>
  <w:p w14:paraId="187D4979" w14:textId="77777777" w:rsidR="003835FF" w:rsidRDefault="003835FF"/>
  <w:p w14:paraId="19786321" w14:textId="77777777" w:rsidR="003835FF" w:rsidRDefault="003835FF"/>
  <w:p w14:paraId="3A7F96FF" w14:textId="77777777" w:rsidR="00B37E47" w:rsidRDefault="00B37E47"/>
  <w:p w14:paraId="4BD07C58" w14:textId="77777777" w:rsidR="00B37E47" w:rsidRDefault="00B37E47" w:rsidP="00A571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0239"/>
    <w:multiLevelType w:val="hybridMultilevel"/>
    <w:tmpl w:val="EBF22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F7FCA"/>
    <w:multiLevelType w:val="hybridMultilevel"/>
    <w:tmpl w:val="91FE5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BC2208"/>
    <w:multiLevelType w:val="hybridMultilevel"/>
    <w:tmpl w:val="A1E44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A429BF"/>
    <w:multiLevelType w:val="multilevel"/>
    <w:tmpl w:val="9B466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8F4BF6"/>
    <w:multiLevelType w:val="hybridMultilevel"/>
    <w:tmpl w:val="B6C40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9840549">
    <w:abstractNumId w:val="3"/>
  </w:num>
  <w:num w:numId="2" w16cid:durableId="68583290">
    <w:abstractNumId w:val="1"/>
  </w:num>
  <w:num w:numId="3" w16cid:durableId="1975938761">
    <w:abstractNumId w:val="4"/>
  </w:num>
  <w:num w:numId="4" w16cid:durableId="189219894">
    <w:abstractNumId w:val="0"/>
  </w:num>
  <w:num w:numId="5" w16cid:durableId="1208646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20B"/>
    <w:rsid w:val="00000F6E"/>
    <w:rsid w:val="0000756C"/>
    <w:rsid w:val="00020E20"/>
    <w:rsid w:val="00060D18"/>
    <w:rsid w:val="000718C6"/>
    <w:rsid w:val="000B731C"/>
    <w:rsid w:val="00130944"/>
    <w:rsid w:val="0015342C"/>
    <w:rsid w:val="001553FC"/>
    <w:rsid w:val="001C6799"/>
    <w:rsid w:val="001D4BE6"/>
    <w:rsid w:val="001E272C"/>
    <w:rsid w:val="0020589B"/>
    <w:rsid w:val="002064E9"/>
    <w:rsid w:val="00217C5A"/>
    <w:rsid w:val="0022630D"/>
    <w:rsid w:val="00254FDA"/>
    <w:rsid w:val="002A320B"/>
    <w:rsid w:val="002C151B"/>
    <w:rsid w:val="00301AD9"/>
    <w:rsid w:val="00324755"/>
    <w:rsid w:val="00363272"/>
    <w:rsid w:val="00370C7C"/>
    <w:rsid w:val="003835FF"/>
    <w:rsid w:val="00385245"/>
    <w:rsid w:val="003913CB"/>
    <w:rsid w:val="003F296E"/>
    <w:rsid w:val="00404698"/>
    <w:rsid w:val="0042187F"/>
    <w:rsid w:val="00427717"/>
    <w:rsid w:val="00442A03"/>
    <w:rsid w:val="004A178B"/>
    <w:rsid w:val="004F329B"/>
    <w:rsid w:val="00516620"/>
    <w:rsid w:val="005355E5"/>
    <w:rsid w:val="00540BE5"/>
    <w:rsid w:val="00553A1B"/>
    <w:rsid w:val="005708B4"/>
    <w:rsid w:val="005743A3"/>
    <w:rsid w:val="00580BF0"/>
    <w:rsid w:val="00595A82"/>
    <w:rsid w:val="005B3CDB"/>
    <w:rsid w:val="005E401B"/>
    <w:rsid w:val="00614602"/>
    <w:rsid w:val="006156A9"/>
    <w:rsid w:val="00661244"/>
    <w:rsid w:val="00665766"/>
    <w:rsid w:val="006A0AEB"/>
    <w:rsid w:val="006A4D63"/>
    <w:rsid w:val="006B4F5A"/>
    <w:rsid w:val="007661F9"/>
    <w:rsid w:val="007A26FE"/>
    <w:rsid w:val="007E6435"/>
    <w:rsid w:val="008020E6"/>
    <w:rsid w:val="00834F38"/>
    <w:rsid w:val="00837487"/>
    <w:rsid w:val="0084239D"/>
    <w:rsid w:val="00870249"/>
    <w:rsid w:val="00875179"/>
    <w:rsid w:val="00882B4D"/>
    <w:rsid w:val="008A23C6"/>
    <w:rsid w:val="008B0E12"/>
    <w:rsid w:val="00986DB0"/>
    <w:rsid w:val="00997ABA"/>
    <w:rsid w:val="00A571F5"/>
    <w:rsid w:val="00A63ED9"/>
    <w:rsid w:val="00A70518"/>
    <w:rsid w:val="00A84E39"/>
    <w:rsid w:val="00AA3F4C"/>
    <w:rsid w:val="00AD4D0B"/>
    <w:rsid w:val="00B37E47"/>
    <w:rsid w:val="00B658B3"/>
    <w:rsid w:val="00B831CF"/>
    <w:rsid w:val="00B87557"/>
    <w:rsid w:val="00B90B99"/>
    <w:rsid w:val="00B92828"/>
    <w:rsid w:val="00B966E2"/>
    <w:rsid w:val="00BA2574"/>
    <w:rsid w:val="00BF2BDF"/>
    <w:rsid w:val="00C14AC1"/>
    <w:rsid w:val="00C44230"/>
    <w:rsid w:val="00C531D1"/>
    <w:rsid w:val="00CC4ED3"/>
    <w:rsid w:val="00D3093B"/>
    <w:rsid w:val="00D73C35"/>
    <w:rsid w:val="00DA22B4"/>
    <w:rsid w:val="00DA3C38"/>
    <w:rsid w:val="00DB2000"/>
    <w:rsid w:val="00DD48DF"/>
    <w:rsid w:val="00DF7F35"/>
    <w:rsid w:val="00E50758"/>
    <w:rsid w:val="00E65803"/>
    <w:rsid w:val="00E762BF"/>
    <w:rsid w:val="00E80335"/>
    <w:rsid w:val="00ED18EE"/>
    <w:rsid w:val="00ED6DC4"/>
    <w:rsid w:val="00EE0667"/>
    <w:rsid w:val="00F075B0"/>
    <w:rsid w:val="00F14918"/>
    <w:rsid w:val="00F43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20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8EE"/>
    <w:rPr>
      <w:rFonts w:ascii="Avenir Next LT Pro" w:hAnsi="Avenir Next LT Pro"/>
    </w:rPr>
  </w:style>
  <w:style w:type="paragraph" w:styleId="Heading1">
    <w:name w:val="heading 1"/>
    <w:basedOn w:val="Heading2"/>
    <w:next w:val="Normal"/>
    <w:uiPriority w:val="9"/>
    <w:qFormat/>
    <w:rsid w:val="006A0AEB"/>
    <w:pPr>
      <w:outlineLvl w:val="0"/>
    </w:pPr>
    <w:rPr>
      <w:color w:val="000000" w:themeColor="text1"/>
    </w:rPr>
  </w:style>
  <w:style w:type="paragraph" w:styleId="Heading2">
    <w:name w:val="heading 2"/>
    <w:basedOn w:val="Normal"/>
    <w:next w:val="Normal"/>
    <w:uiPriority w:val="9"/>
    <w:unhideWhenUsed/>
    <w:qFormat/>
    <w:rsid w:val="003913CB"/>
    <w:pPr>
      <w:outlineLvl w:val="1"/>
    </w:pPr>
    <w:rPr>
      <w:b/>
      <w:bCs/>
      <w:color w:val="6D1E49" w:themeColor="background2"/>
      <w:sz w:val="32"/>
      <w:szCs w:val="32"/>
    </w:rPr>
  </w:style>
  <w:style w:type="paragraph" w:styleId="Heading3">
    <w:name w:val="heading 3"/>
    <w:basedOn w:val="Heading2"/>
    <w:next w:val="Normal"/>
    <w:uiPriority w:val="9"/>
    <w:unhideWhenUsed/>
    <w:qFormat/>
    <w:rsid w:val="00AA3F4C"/>
    <w:pPr>
      <w:outlineLvl w:val="2"/>
    </w:pPr>
    <w:rPr>
      <w:color w:val="000000" w:themeColor="text1"/>
      <w:sz w:val="24"/>
      <w:szCs w:val="24"/>
    </w:rPr>
  </w:style>
  <w:style w:type="paragraph" w:styleId="Heading4">
    <w:name w:val="heading 4"/>
    <w:basedOn w:val="Heading3"/>
    <w:next w:val="Normal"/>
    <w:uiPriority w:val="9"/>
    <w:unhideWhenUsed/>
    <w:qFormat/>
    <w:rsid w:val="00F075B0"/>
    <w:pPr>
      <w:outlineLvl w:val="3"/>
    </w:pPr>
    <w:rPr>
      <w:color w:val="6D1E49" w:themeColor="background2"/>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4"/>
    <w:next w:val="Normal"/>
    <w:uiPriority w:val="10"/>
    <w:qFormat/>
    <w:rsid w:val="00F075B0"/>
    <w:rPr>
      <w:rFonts w:ascii="Garamond" w:hAnsi="Garamond"/>
      <w:color w:val="000000" w:themeColor="text1"/>
      <w:sz w:val="48"/>
      <w:szCs w:val="48"/>
    </w:rPr>
  </w:style>
  <w:style w:type="paragraph" w:styleId="Subtitle">
    <w:name w:val="Subtitle"/>
    <w:basedOn w:val="Heading2"/>
    <w:next w:val="Normal"/>
    <w:uiPriority w:val="11"/>
    <w:qFormat/>
    <w:rsid w:val="00F075B0"/>
    <w:rPr>
      <w:b w:val="0"/>
      <w:bCs w:val="0"/>
      <w:color w:val="000000" w:themeColor="text1"/>
      <w:sz w:val="24"/>
      <w:szCs w:val="24"/>
      <w:lang w:val="en-US"/>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C151B"/>
    <w:pPr>
      <w:tabs>
        <w:tab w:val="center" w:pos="4680"/>
        <w:tab w:val="right" w:pos="9360"/>
      </w:tabs>
      <w:spacing w:line="240" w:lineRule="auto"/>
    </w:pPr>
  </w:style>
  <w:style w:type="character" w:customStyle="1" w:styleId="HeaderChar">
    <w:name w:val="Header Char"/>
    <w:basedOn w:val="DefaultParagraphFont"/>
    <w:link w:val="Header"/>
    <w:uiPriority w:val="99"/>
    <w:rsid w:val="002C151B"/>
  </w:style>
  <w:style w:type="paragraph" w:styleId="Footer">
    <w:name w:val="footer"/>
    <w:basedOn w:val="Normal"/>
    <w:link w:val="FooterChar"/>
    <w:uiPriority w:val="99"/>
    <w:unhideWhenUsed/>
    <w:rsid w:val="002C151B"/>
    <w:pPr>
      <w:tabs>
        <w:tab w:val="center" w:pos="4680"/>
        <w:tab w:val="right" w:pos="9360"/>
      </w:tabs>
      <w:spacing w:line="240" w:lineRule="auto"/>
    </w:pPr>
  </w:style>
  <w:style w:type="character" w:customStyle="1" w:styleId="FooterChar">
    <w:name w:val="Footer Char"/>
    <w:basedOn w:val="DefaultParagraphFont"/>
    <w:link w:val="Footer"/>
    <w:uiPriority w:val="99"/>
    <w:rsid w:val="002C151B"/>
  </w:style>
  <w:style w:type="character" w:styleId="SubtleEmphasis">
    <w:name w:val="Subtle Emphasis"/>
    <w:basedOn w:val="DefaultParagraphFont"/>
    <w:uiPriority w:val="19"/>
    <w:qFormat/>
    <w:rsid w:val="00516620"/>
    <w:rPr>
      <w:rFonts w:ascii="Avenir Next LT Pro" w:hAnsi="Avenir Next LT Pro"/>
      <w:b w:val="0"/>
      <w:i/>
      <w:iCs/>
      <w:color w:val="007786" w:themeColor="text2"/>
    </w:rPr>
  </w:style>
  <w:style w:type="character" w:styleId="Emphasis">
    <w:name w:val="Emphasis"/>
    <w:basedOn w:val="DefaultParagraphFont"/>
    <w:uiPriority w:val="20"/>
    <w:qFormat/>
    <w:rsid w:val="00ED18EE"/>
    <w:rPr>
      <w:rFonts w:ascii="Avenir Next LT Pro" w:hAnsi="Avenir Next LT Pro"/>
      <w:i/>
      <w:iCs/>
    </w:rPr>
  </w:style>
  <w:style w:type="paragraph" w:styleId="NoSpacing">
    <w:name w:val="No Spacing"/>
    <w:uiPriority w:val="1"/>
    <w:qFormat/>
    <w:rsid w:val="00ED18EE"/>
    <w:pPr>
      <w:spacing w:line="240" w:lineRule="auto"/>
    </w:pPr>
    <w:rPr>
      <w:rFonts w:ascii="Avenir Next LT Pro" w:hAnsi="Avenir Next LT Pro"/>
    </w:rPr>
  </w:style>
  <w:style w:type="paragraph" w:styleId="ListParagraph">
    <w:name w:val="List Paragraph"/>
    <w:basedOn w:val="Normal"/>
    <w:uiPriority w:val="34"/>
    <w:qFormat/>
    <w:rsid w:val="00ED18EE"/>
    <w:pPr>
      <w:ind w:left="720"/>
      <w:contextualSpacing/>
    </w:pPr>
  </w:style>
  <w:style w:type="character" w:styleId="IntenseEmphasis">
    <w:name w:val="Intense Emphasis"/>
    <w:basedOn w:val="DefaultParagraphFont"/>
    <w:uiPriority w:val="21"/>
    <w:qFormat/>
    <w:rsid w:val="00595A82"/>
    <w:rPr>
      <w:rFonts w:ascii="Avenir Next LT Pro" w:hAnsi="Avenir Next LT Pro"/>
      <w:b/>
      <w:i/>
      <w:iCs/>
      <w:color w:val="000000"/>
      <w:sz w:val="22"/>
    </w:rPr>
  </w:style>
  <w:style w:type="character" w:styleId="Strong">
    <w:name w:val="Strong"/>
    <w:basedOn w:val="DefaultParagraphFont"/>
    <w:uiPriority w:val="22"/>
    <w:qFormat/>
    <w:rsid w:val="00595A82"/>
    <w:rPr>
      <w:rFonts w:ascii="Avenir Next LT Pro" w:hAnsi="Avenir Next LT Pro"/>
      <w:b/>
      <w:bCs/>
    </w:rPr>
  </w:style>
  <w:style w:type="paragraph" w:styleId="Quote">
    <w:name w:val="Quote"/>
    <w:basedOn w:val="Normal"/>
    <w:next w:val="Normal"/>
    <w:link w:val="QuoteChar"/>
    <w:uiPriority w:val="29"/>
    <w:qFormat/>
    <w:rsid w:val="00516620"/>
    <w:pPr>
      <w:spacing w:before="200" w:after="160"/>
      <w:ind w:right="864"/>
      <w:jc w:val="center"/>
    </w:pPr>
    <w:rPr>
      <w:i/>
      <w:iCs/>
      <w:color w:val="007786" w:themeColor="text2"/>
      <w:sz w:val="28"/>
    </w:rPr>
  </w:style>
  <w:style w:type="character" w:customStyle="1" w:styleId="QuoteChar">
    <w:name w:val="Quote Char"/>
    <w:basedOn w:val="DefaultParagraphFont"/>
    <w:link w:val="Quote"/>
    <w:uiPriority w:val="29"/>
    <w:rsid w:val="00516620"/>
    <w:rPr>
      <w:rFonts w:ascii="Avenir Next LT Pro" w:hAnsi="Avenir Next LT Pro"/>
      <w:i/>
      <w:iCs/>
      <w:color w:val="007786" w:themeColor="text2"/>
      <w:sz w:val="28"/>
    </w:rPr>
  </w:style>
  <w:style w:type="paragraph" w:styleId="IntenseQuote">
    <w:name w:val="Intense Quote"/>
    <w:basedOn w:val="Normal"/>
    <w:next w:val="Normal"/>
    <w:link w:val="IntenseQuoteChar"/>
    <w:uiPriority w:val="30"/>
    <w:qFormat/>
    <w:rsid w:val="00516620"/>
    <w:pPr>
      <w:pBdr>
        <w:top w:val="single" w:sz="4" w:space="10" w:color="BEC6CE" w:themeColor="accent1"/>
        <w:bottom w:val="single" w:sz="4" w:space="10" w:color="BEC6CE" w:themeColor="accent1"/>
      </w:pBdr>
      <w:spacing w:before="360" w:after="360"/>
      <w:ind w:left="864" w:right="864"/>
      <w:jc w:val="center"/>
    </w:pPr>
    <w:rPr>
      <w:i/>
      <w:iCs/>
      <w:color w:val="007786" w:themeColor="text2"/>
      <w:sz w:val="28"/>
    </w:rPr>
  </w:style>
  <w:style w:type="character" w:customStyle="1" w:styleId="IntenseQuoteChar">
    <w:name w:val="Intense Quote Char"/>
    <w:basedOn w:val="DefaultParagraphFont"/>
    <w:link w:val="IntenseQuote"/>
    <w:uiPriority w:val="30"/>
    <w:rsid w:val="00516620"/>
    <w:rPr>
      <w:rFonts w:ascii="Avenir Next LT Pro" w:hAnsi="Avenir Next LT Pro"/>
      <w:i/>
      <w:iCs/>
      <w:color w:val="007786" w:themeColor="text2"/>
      <w:sz w:val="28"/>
    </w:rPr>
  </w:style>
  <w:style w:type="character" w:styleId="SubtleReference">
    <w:name w:val="Subtle Reference"/>
    <w:basedOn w:val="DefaultParagraphFont"/>
    <w:uiPriority w:val="31"/>
    <w:qFormat/>
    <w:rsid w:val="00516620"/>
    <w:rPr>
      <w:rFonts w:ascii="Avenir Next LT Pro" w:hAnsi="Avenir Next LT Pro"/>
      <w:smallCaps/>
      <w:color w:val="007786" w:themeColor="text2"/>
    </w:rPr>
  </w:style>
  <w:style w:type="character" w:styleId="IntenseReference">
    <w:name w:val="Intense Reference"/>
    <w:basedOn w:val="DefaultParagraphFont"/>
    <w:uiPriority w:val="32"/>
    <w:qFormat/>
    <w:rsid w:val="00595A82"/>
    <w:rPr>
      <w:rFonts w:ascii="Avenir Next LT Pro" w:hAnsi="Avenir Next LT Pro"/>
      <w:b/>
      <w:bCs/>
      <w:smallCaps/>
      <w:color w:val="000000"/>
      <w:spacing w:val="5"/>
    </w:rPr>
  </w:style>
  <w:style w:type="character" w:styleId="BookTitle">
    <w:name w:val="Book Title"/>
    <w:basedOn w:val="DefaultParagraphFont"/>
    <w:uiPriority w:val="33"/>
    <w:qFormat/>
    <w:rsid w:val="00516620"/>
    <w:rPr>
      <w:rFonts w:ascii="Avenir Next LT Pro" w:hAnsi="Avenir Next LT Pro"/>
      <w:b/>
      <w:bCs/>
      <w:i/>
      <w:iCs/>
      <w:spacing w:val="5"/>
    </w:rPr>
  </w:style>
  <w:style w:type="character" w:styleId="Hyperlink">
    <w:name w:val="Hyperlink"/>
    <w:basedOn w:val="DefaultParagraphFont"/>
    <w:uiPriority w:val="99"/>
    <w:unhideWhenUsed/>
    <w:rsid w:val="00882B4D"/>
    <w:rPr>
      <w:color w:val="6D1E49" w:themeColor="hyperlink"/>
      <w:u w:val="single"/>
    </w:rPr>
  </w:style>
  <w:style w:type="character" w:styleId="UnresolvedMention">
    <w:name w:val="Unresolved Mention"/>
    <w:basedOn w:val="DefaultParagraphFont"/>
    <w:uiPriority w:val="99"/>
    <w:semiHidden/>
    <w:unhideWhenUsed/>
    <w:rsid w:val="00882B4D"/>
    <w:rPr>
      <w:color w:val="605E5C"/>
      <w:shd w:val="clear" w:color="auto" w:fill="E1DFDD"/>
    </w:rPr>
  </w:style>
  <w:style w:type="character" w:styleId="PageNumber">
    <w:name w:val="page number"/>
    <w:basedOn w:val="DefaultParagraphFont"/>
    <w:uiPriority w:val="99"/>
    <w:semiHidden/>
    <w:unhideWhenUsed/>
    <w:rsid w:val="00882B4D"/>
  </w:style>
  <w:style w:type="paragraph" w:styleId="TOC2">
    <w:name w:val="toc 2"/>
    <w:basedOn w:val="Normal"/>
    <w:next w:val="Normal"/>
    <w:autoRedefine/>
    <w:uiPriority w:val="39"/>
    <w:unhideWhenUsed/>
    <w:qFormat/>
    <w:rsid w:val="004F329B"/>
    <w:pPr>
      <w:spacing w:before="120"/>
      <w:ind w:left="200"/>
    </w:pPr>
    <w:rPr>
      <w:bCs/>
      <w:sz w:val="24"/>
    </w:rPr>
  </w:style>
  <w:style w:type="paragraph" w:styleId="TOC1">
    <w:name w:val="toc 1"/>
    <w:basedOn w:val="Normal"/>
    <w:next w:val="Normal"/>
    <w:autoRedefine/>
    <w:uiPriority w:val="39"/>
    <w:unhideWhenUsed/>
    <w:qFormat/>
    <w:rsid w:val="004F329B"/>
    <w:pPr>
      <w:spacing w:before="120"/>
    </w:pPr>
    <w:rPr>
      <w:bCs/>
      <w:iCs/>
      <w:sz w:val="32"/>
      <w:szCs w:val="24"/>
    </w:rPr>
  </w:style>
  <w:style w:type="paragraph" w:styleId="TOC3">
    <w:name w:val="toc 3"/>
    <w:basedOn w:val="Normal"/>
    <w:next w:val="Normal"/>
    <w:autoRedefine/>
    <w:uiPriority w:val="39"/>
    <w:semiHidden/>
    <w:unhideWhenUsed/>
    <w:qFormat/>
    <w:rsid w:val="004F329B"/>
    <w:pPr>
      <w:ind w:left="400"/>
    </w:pPr>
    <w:rPr>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ellwether 2023">
      <a:dk1>
        <a:srgbClr val="000000"/>
      </a:dk1>
      <a:lt1>
        <a:srgbClr val="FFFFFF"/>
      </a:lt1>
      <a:dk2>
        <a:srgbClr val="007786"/>
      </a:dk2>
      <a:lt2>
        <a:srgbClr val="6D1E49"/>
      </a:lt2>
      <a:accent1>
        <a:srgbClr val="BEC6CE"/>
      </a:accent1>
      <a:accent2>
        <a:srgbClr val="202B46"/>
      </a:accent2>
      <a:accent3>
        <a:srgbClr val="F0DEC1"/>
      </a:accent3>
      <a:accent4>
        <a:srgbClr val="0D5159"/>
      </a:accent4>
      <a:accent5>
        <a:srgbClr val="7EA2D1"/>
      </a:accent5>
      <a:accent6>
        <a:srgbClr val="CAD3FB"/>
      </a:accent6>
      <a:hlink>
        <a:srgbClr val="6D1E49"/>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fbfb314-0bc7-4503-9641-f7e08bbd5e5c">
      <Terms xmlns="http://schemas.microsoft.com/office/infopath/2007/PartnerControls"/>
    </lcf76f155ced4ddcb4097134ff3c332f>
    <TaxCatchAll xmlns="c348ad9a-7b72-4dc4-9bb8-7ecd5f6467a7" xsi:nil="true"/>
    <Resource_x0020_Type xmlns="c348ad9a-7b72-4dc4-9bb8-7ecd5f6467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DF931F073877488F11BD7F649EE9A9" ma:contentTypeVersion="19" ma:contentTypeDescription="Create a new document." ma:contentTypeScope="" ma:versionID="106306b39eb6d3333bf2e3aa66de7f57">
  <xsd:schema xmlns:xsd="http://www.w3.org/2001/XMLSchema" xmlns:xs="http://www.w3.org/2001/XMLSchema" xmlns:p="http://schemas.microsoft.com/office/2006/metadata/properties" xmlns:ns2="3fbfb314-0bc7-4503-9641-f7e08bbd5e5c" xmlns:ns3="c348ad9a-7b72-4dc4-9bb8-7ecd5f6467a7" targetNamespace="http://schemas.microsoft.com/office/2006/metadata/properties" ma:root="true" ma:fieldsID="62b5284edde1285d5c8e0448aad50603" ns2:_="" ns3:_="">
    <xsd:import namespace="3fbfb314-0bc7-4503-9641-f7e08bbd5e5c"/>
    <xsd:import namespace="c348ad9a-7b72-4dc4-9bb8-7ecd5f6467a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Resource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bfb314-0bc7-4503-9641-f7e08bbd5e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f920cc-5ea2-406a-9658-c33626b07c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48ad9a-7b72-4dc4-9bb8-7ecd5f6467a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c866208-15c2-4132-9497-e76d6ad7131c}" ma:internalName="TaxCatchAll" ma:showField="CatchAllData" ma:web="c348ad9a-7b72-4dc4-9bb8-7ecd5f6467a7">
      <xsd:complexType>
        <xsd:complexContent>
          <xsd:extension base="dms:MultiChoiceLookup">
            <xsd:sequence>
              <xsd:element name="Value" type="dms:Lookup" maxOccurs="unbounded" minOccurs="0" nillable="true"/>
            </xsd:sequence>
          </xsd:extension>
        </xsd:complexContent>
      </xsd:complexType>
    </xsd:element>
    <xsd:element name="Resource_x0020_Type" ma:index="26" nillable="true" ma:displayName="Resource Type" ma:default="" ma:description="Describes the type of information contained within the resource: Examples (resources that represent best-in-class/exemplary final work products from projects), References (resources that detail POV, methodology, norms, guidance, and/or process steps), and Tools (resources that can be copied to supplement work and/or analysis)" ma:format="Dropdown" ma:internalName="Resource_x0020_Type">
      <xsd:simpleType>
        <xsd:restriction base="dms:Choice">
          <xsd:enumeration value="Example"/>
          <xsd:enumeration value="Reference"/>
          <xsd:enumeration value="Tool"/>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B78D2D-56BB-4980-AAA9-0033689132D6}">
  <ds:schemaRefs>
    <ds:schemaRef ds:uri="http://schemas.microsoft.com/office/2006/metadata/properties"/>
    <ds:schemaRef ds:uri="http://schemas.microsoft.com/office/infopath/2007/PartnerControls"/>
    <ds:schemaRef ds:uri="3fbfb314-0bc7-4503-9641-f7e08bbd5e5c"/>
    <ds:schemaRef ds:uri="c348ad9a-7b72-4dc4-9bb8-7ecd5f6467a7"/>
  </ds:schemaRefs>
</ds:datastoreItem>
</file>

<file path=customXml/itemProps2.xml><?xml version="1.0" encoding="utf-8"?>
<ds:datastoreItem xmlns:ds="http://schemas.openxmlformats.org/officeDocument/2006/customXml" ds:itemID="{6EA577CB-CCA3-443D-991C-652AF9074CCA}">
  <ds:schemaRefs>
    <ds:schemaRef ds:uri="http://schemas.microsoft.com/sharepoint/v3/contenttype/forms"/>
  </ds:schemaRefs>
</ds:datastoreItem>
</file>

<file path=customXml/itemProps3.xml><?xml version="1.0" encoding="utf-8"?>
<ds:datastoreItem xmlns:ds="http://schemas.openxmlformats.org/officeDocument/2006/customXml" ds:itemID="{B36DCB6A-8860-49D6-B635-EA5FB97D3F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bfb314-0bc7-4503-9641-f7e08bbd5e5c"/>
    <ds:schemaRef ds:uri="c348ad9a-7b72-4dc4-9bb8-7ecd5f6467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Standard Letterhead.dotx</Template>
  <TotalTime>2</TotalTime>
  <Pages>1</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Marisa Mission</cp:lastModifiedBy>
  <cp:revision>1</cp:revision>
  <cp:lastPrinted>2022-12-08T19:42:00Z</cp:lastPrinted>
  <dcterms:created xsi:type="dcterms:W3CDTF">2026-02-20T00:28:00Z</dcterms:created>
  <dcterms:modified xsi:type="dcterms:W3CDTF">2026-02-20T00:30:00Z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ies>
</file>