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7B88" w14:textId="77777777" w:rsidR="00EE7390" w:rsidRDefault="0056086B">
      <w:pPr>
        <w:spacing w:after="40"/>
        <w:jc w:val="center"/>
      </w:pPr>
      <w:r>
        <w:rPr>
          <w:b/>
          <w:bCs/>
          <w:color w:val="595959"/>
          <w:sz w:val="16"/>
          <w:szCs w:val="16"/>
        </w:rPr>
        <w:t>PRIVATE &amp; CONFIDENTIAL — PREPARED FOR INTERNAL DISCUSSION PURPOSES ONLY</w:t>
      </w:r>
    </w:p>
    <w:p w14:paraId="5D51DF4E" w14:textId="77777777" w:rsidR="00EE7390" w:rsidRDefault="0056086B">
      <w:pPr>
        <w:spacing w:after="200"/>
        <w:jc w:val="center"/>
      </w:pPr>
      <w:r>
        <w:rPr>
          <w:b/>
          <w:bCs/>
          <w:color w:val="1F3864"/>
          <w:sz w:val="34"/>
          <w:szCs w:val="34"/>
        </w:rPr>
        <w:t>PRE-SEED INVESTMENT SCREENING MEMORANDUM</w:t>
      </w:r>
    </w:p>
    <w:p w14:paraId="28F09771" w14:textId="77777777" w:rsidR="00EE7390" w:rsidRDefault="0056086B">
      <w:pPr>
        <w:spacing w:after="300"/>
        <w:jc w:val="center"/>
      </w:pPr>
      <w:r>
        <w:rPr>
          <w:i/>
          <w:iCs/>
          <w:color w:val="44546A"/>
          <w:sz w:val="24"/>
          <w:szCs w:val="24"/>
        </w:rPr>
        <w:t>North Australian SeaCulture Pty Ltd (“NASC” / “SeaCulture” / “the Company”)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7450"/>
      </w:tblGrid>
      <w:tr w:rsidR="00EE7390" w14:paraId="4D191142" w14:textId="77777777">
        <w:tc>
          <w:tcPr>
            <w:tcW w:w="1900" w:type="dxa"/>
            <w:shd w:val="clear" w:color="auto" w:fill="F2F2F2"/>
            <w:tcMar>
              <w:top w:w="80" w:type="dxa"/>
              <w:left w:w="110" w:type="dxa"/>
              <w:bottom w:w="80" w:type="dxa"/>
              <w:right w:w="110" w:type="dxa"/>
            </w:tcMar>
            <w:vAlign w:val="center"/>
          </w:tcPr>
          <w:p w14:paraId="30EE974E" w14:textId="77777777" w:rsidR="00EE7390" w:rsidRDefault="0056086B">
            <w:r>
              <w:rPr>
                <w:b/>
                <w:bCs/>
                <w:color w:val="000000"/>
                <w:sz w:val="20"/>
                <w:szCs w:val="20"/>
              </w:rPr>
              <w:t>To:</w:t>
            </w:r>
          </w:p>
        </w:tc>
        <w:tc>
          <w:tcPr>
            <w:tcW w:w="7450" w:type="dxa"/>
            <w:tcMar>
              <w:top w:w="80" w:type="dxa"/>
              <w:left w:w="110" w:type="dxa"/>
              <w:bottom w:w="80" w:type="dxa"/>
              <w:right w:w="110" w:type="dxa"/>
            </w:tcMar>
            <w:vAlign w:val="center"/>
          </w:tcPr>
          <w:p w14:paraId="4C2F493A" w14:textId="7521194B" w:rsidR="00EE7390" w:rsidRDefault="0056086B">
            <w:r>
              <w:rPr>
                <w:color w:val="000000"/>
                <w:sz w:val="20"/>
                <w:szCs w:val="20"/>
              </w:rPr>
              <w:t>Investment Committee</w:t>
            </w:r>
          </w:p>
        </w:tc>
      </w:tr>
      <w:tr w:rsidR="00EE7390" w14:paraId="308136CD" w14:textId="77777777">
        <w:tc>
          <w:tcPr>
            <w:tcW w:w="1900" w:type="dxa"/>
            <w:shd w:val="clear" w:color="auto" w:fill="F2F2F2"/>
            <w:tcMar>
              <w:top w:w="80" w:type="dxa"/>
              <w:left w:w="110" w:type="dxa"/>
              <w:bottom w:w="80" w:type="dxa"/>
              <w:right w:w="110" w:type="dxa"/>
            </w:tcMar>
            <w:vAlign w:val="center"/>
          </w:tcPr>
          <w:p w14:paraId="55B7ECFD" w14:textId="77777777" w:rsidR="00EE7390" w:rsidRDefault="0056086B">
            <w:r>
              <w:rPr>
                <w:b/>
                <w:bCs/>
                <w:color w:val="000000"/>
                <w:sz w:val="20"/>
                <w:szCs w:val="20"/>
              </w:rPr>
              <w:t>From:</w:t>
            </w:r>
          </w:p>
        </w:tc>
        <w:tc>
          <w:tcPr>
            <w:tcW w:w="7450" w:type="dxa"/>
            <w:tcMar>
              <w:top w:w="80" w:type="dxa"/>
              <w:left w:w="110" w:type="dxa"/>
              <w:bottom w:w="80" w:type="dxa"/>
              <w:right w:w="110" w:type="dxa"/>
            </w:tcMar>
            <w:vAlign w:val="center"/>
          </w:tcPr>
          <w:p w14:paraId="0C0B81DA" w14:textId="4E1D9FC5" w:rsidR="00EE7390" w:rsidRDefault="006A27B7">
            <w:r>
              <w:rPr>
                <w:color w:val="000000"/>
                <w:sz w:val="20"/>
                <w:szCs w:val="20"/>
              </w:rPr>
              <w:t>Seaculture Advisor – Jay Holta</w:t>
            </w:r>
          </w:p>
        </w:tc>
      </w:tr>
      <w:tr w:rsidR="00EE7390" w14:paraId="27B568C8" w14:textId="77777777">
        <w:tc>
          <w:tcPr>
            <w:tcW w:w="1900" w:type="dxa"/>
            <w:shd w:val="clear" w:color="auto" w:fill="F2F2F2"/>
            <w:tcMar>
              <w:top w:w="80" w:type="dxa"/>
              <w:left w:w="110" w:type="dxa"/>
              <w:bottom w:w="80" w:type="dxa"/>
              <w:right w:w="110" w:type="dxa"/>
            </w:tcMar>
            <w:vAlign w:val="center"/>
          </w:tcPr>
          <w:p w14:paraId="68202F8F" w14:textId="77777777" w:rsidR="00EE7390" w:rsidRDefault="0056086B">
            <w:r>
              <w:rPr>
                <w:b/>
                <w:bCs/>
                <w:color w:val="000000"/>
                <w:sz w:val="20"/>
                <w:szCs w:val="20"/>
              </w:rPr>
              <w:t>Date:</w:t>
            </w:r>
          </w:p>
        </w:tc>
        <w:tc>
          <w:tcPr>
            <w:tcW w:w="7450" w:type="dxa"/>
            <w:tcMar>
              <w:top w:w="80" w:type="dxa"/>
              <w:left w:w="110" w:type="dxa"/>
              <w:bottom w:w="80" w:type="dxa"/>
              <w:right w:w="110" w:type="dxa"/>
            </w:tcMar>
            <w:vAlign w:val="center"/>
          </w:tcPr>
          <w:p w14:paraId="35CD8007" w14:textId="77777777" w:rsidR="00EE7390" w:rsidRDefault="0056086B">
            <w:r>
              <w:rPr>
                <w:color w:val="000000"/>
                <w:sz w:val="20"/>
                <w:szCs w:val="20"/>
              </w:rPr>
              <w:t>September 2026</w:t>
            </w:r>
          </w:p>
        </w:tc>
      </w:tr>
      <w:tr w:rsidR="00EE7390" w14:paraId="3904D214" w14:textId="77777777">
        <w:tc>
          <w:tcPr>
            <w:tcW w:w="1900" w:type="dxa"/>
            <w:shd w:val="clear" w:color="auto" w:fill="F2F2F2"/>
            <w:tcMar>
              <w:top w:w="80" w:type="dxa"/>
              <w:left w:w="110" w:type="dxa"/>
              <w:bottom w:w="80" w:type="dxa"/>
              <w:right w:w="110" w:type="dxa"/>
            </w:tcMar>
            <w:vAlign w:val="center"/>
          </w:tcPr>
          <w:p w14:paraId="75818B22" w14:textId="77777777" w:rsidR="00EE7390" w:rsidRDefault="0056086B">
            <w:r>
              <w:rPr>
                <w:b/>
                <w:bCs/>
                <w:color w:val="000000"/>
                <w:sz w:val="20"/>
                <w:szCs w:val="20"/>
              </w:rPr>
              <w:t>Re:</w:t>
            </w:r>
          </w:p>
        </w:tc>
        <w:tc>
          <w:tcPr>
            <w:tcW w:w="7450" w:type="dxa"/>
            <w:tcMar>
              <w:top w:w="80" w:type="dxa"/>
              <w:left w:w="110" w:type="dxa"/>
              <w:bottom w:w="80" w:type="dxa"/>
              <w:right w:w="110" w:type="dxa"/>
            </w:tcMar>
            <w:vAlign w:val="center"/>
          </w:tcPr>
          <w:p w14:paraId="05C38653" w14:textId="182B3EFC" w:rsidR="00EE7390" w:rsidRDefault="00336EB6">
            <w:r>
              <w:rPr>
                <w:color w:val="000000"/>
                <w:sz w:val="20"/>
                <w:szCs w:val="20"/>
              </w:rPr>
              <w:t>Pre-seed investment in North Australian SeaCulture Pty Ltd (ACN 688 969 324)</w:t>
            </w:r>
          </w:p>
        </w:tc>
      </w:tr>
      <w:tr w:rsidR="00EE7390" w14:paraId="1E87FCF7" w14:textId="77777777">
        <w:tc>
          <w:tcPr>
            <w:tcW w:w="1900" w:type="dxa"/>
            <w:shd w:val="clear" w:color="auto" w:fill="F2F2F2"/>
            <w:tcMar>
              <w:top w:w="80" w:type="dxa"/>
              <w:left w:w="110" w:type="dxa"/>
              <w:bottom w:w="80" w:type="dxa"/>
              <w:right w:w="110" w:type="dxa"/>
            </w:tcMar>
            <w:vAlign w:val="center"/>
          </w:tcPr>
          <w:p w14:paraId="08FC1E63" w14:textId="77777777" w:rsidR="00EE7390" w:rsidRDefault="0056086B">
            <w:r>
              <w:rPr>
                <w:b/>
                <w:bCs/>
                <w:color w:val="000000"/>
                <w:sz w:val="20"/>
                <w:szCs w:val="20"/>
              </w:rPr>
              <w:t>Purpose:</w:t>
            </w:r>
          </w:p>
        </w:tc>
        <w:tc>
          <w:tcPr>
            <w:tcW w:w="7450" w:type="dxa"/>
            <w:tcMar>
              <w:top w:w="80" w:type="dxa"/>
              <w:left w:w="110" w:type="dxa"/>
              <w:bottom w:w="80" w:type="dxa"/>
              <w:right w:w="110" w:type="dxa"/>
            </w:tcMar>
            <w:vAlign w:val="center"/>
          </w:tcPr>
          <w:p w14:paraId="4B267CA1" w14:textId="0EDD5F03" w:rsidR="00EE7390" w:rsidRDefault="0056086B">
            <w:r>
              <w:rPr>
                <w:color w:val="000000"/>
                <w:sz w:val="20"/>
                <w:szCs w:val="20"/>
              </w:rPr>
              <w:t xml:space="preserve">Preliminary screening memorandum to support a decision to </w:t>
            </w:r>
            <w:r w:rsidR="00336EB6">
              <w:rPr>
                <w:color w:val="000000"/>
                <w:sz w:val="20"/>
                <w:szCs w:val="20"/>
              </w:rPr>
              <w:t>enter</w:t>
            </w:r>
            <w:r>
              <w:rPr>
                <w:color w:val="000000"/>
                <w:sz w:val="20"/>
                <w:szCs w:val="20"/>
              </w:rPr>
              <w:t xml:space="preserve"> due diligence</w:t>
            </w:r>
          </w:p>
        </w:tc>
      </w:tr>
      <w:tr w:rsidR="00EE7390" w14:paraId="3EBFD1E5" w14:textId="77777777">
        <w:tc>
          <w:tcPr>
            <w:tcW w:w="1900" w:type="dxa"/>
            <w:shd w:val="clear" w:color="auto" w:fill="F2F2F2"/>
            <w:tcMar>
              <w:top w:w="80" w:type="dxa"/>
              <w:left w:w="110" w:type="dxa"/>
              <w:bottom w:w="80" w:type="dxa"/>
              <w:right w:w="110" w:type="dxa"/>
            </w:tcMar>
            <w:vAlign w:val="center"/>
          </w:tcPr>
          <w:p w14:paraId="6200465A" w14:textId="77777777" w:rsidR="00EE7390" w:rsidRDefault="0056086B">
            <w:r>
              <w:rPr>
                <w:b/>
                <w:bCs/>
                <w:color w:val="000000"/>
                <w:sz w:val="20"/>
                <w:szCs w:val="20"/>
              </w:rPr>
              <w:t>Recommendation:</w:t>
            </w:r>
          </w:p>
        </w:tc>
        <w:tc>
          <w:tcPr>
            <w:tcW w:w="7450" w:type="dxa"/>
            <w:tcMar>
              <w:top w:w="80" w:type="dxa"/>
              <w:left w:w="110" w:type="dxa"/>
              <w:bottom w:w="80" w:type="dxa"/>
              <w:right w:w="110" w:type="dxa"/>
            </w:tcMar>
            <w:vAlign w:val="center"/>
          </w:tcPr>
          <w:p w14:paraId="3F97D47F" w14:textId="77777777" w:rsidR="00EE7390" w:rsidRDefault="0056086B">
            <w:r>
              <w:rPr>
                <w:color w:val="000000"/>
                <w:sz w:val="20"/>
                <w:szCs w:val="20"/>
              </w:rPr>
              <w:t>Proceed to due diligence, subject to the conditions and open items set out in Section 15</w:t>
            </w:r>
          </w:p>
        </w:tc>
      </w:tr>
    </w:tbl>
    <w:p w14:paraId="5FE41C26" w14:textId="77777777" w:rsidR="00EE7390" w:rsidRDefault="00EE7390">
      <w:pPr>
        <w:spacing w:after="200"/>
      </w:pPr>
    </w:p>
    <w:p w14:paraId="4D18D577" w14:textId="77777777" w:rsidR="00EE7390" w:rsidRDefault="0056086B">
      <w:pPr>
        <w:pStyle w:val="Heading1"/>
        <w:pBdr>
          <w:bottom w:val="single" w:sz="8" w:space="4" w:color="1F3864"/>
        </w:pBdr>
        <w:spacing w:before="400" w:after="160"/>
      </w:pPr>
      <w:r>
        <w:rPr>
          <w:b/>
          <w:bCs/>
          <w:color w:val="1F3864"/>
          <w:sz w:val="27"/>
          <w:szCs w:val="27"/>
        </w:rPr>
        <w:t>1. Executive Summary</w:t>
      </w:r>
    </w:p>
    <w:p w14:paraId="4CC21324" w14:textId="0040AE24" w:rsidR="00EE7390" w:rsidRDefault="0056086B">
      <w:pPr>
        <w:spacing w:after="160"/>
        <w:jc w:val="both"/>
      </w:pPr>
      <w:r>
        <w:rPr>
          <w:color w:val="000000"/>
        </w:rPr>
        <w:t xml:space="preserve">North Australian SeaCulture Pty Ltd (“NASC”) is a pre-seed </w:t>
      </w:r>
      <w:r w:rsidR="005B0420">
        <w:rPr>
          <w:color w:val="000000"/>
        </w:rPr>
        <w:t>seaweed cultivation &amp; product development</w:t>
      </w:r>
      <w:r>
        <w:rPr>
          <w:color w:val="000000"/>
        </w:rPr>
        <w:t xml:space="preserve"> company based in Darwin, Northern Territory</w:t>
      </w:r>
      <w:r w:rsidR="00C57837">
        <w:rPr>
          <w:color w:val="000000"/>
        </w:rPr>
        <w:t>. NASC is</w:t>
      </w:r>
      <w:r>
        <w:rPr>
          <w:color w:val="000000"/>
        </w:rPr>
        <w:t xml:space="preserve"> developing a containerised, low-energy technology to process </w:t>
      </w:r>
      <w:r w:rsidR="00C57837">
        <w:rPr>
          <w:color w:val="000000"/>
        </w:rPr>
        <w:t>native seaweed</w:t>
      </w:r>
      <w:r w:rsidR="00EA145A">
        <w:rPr>
          <w:color w:val="000000"/>
        </w:rPr>
        <w:t xml:space="preserve"> species for multiple product streams, starting with s</w:t>
      </w:r>
      <w:r>
        <w:rPr>
          <w:color w:val="000000"/>
        </w:rPr>
        <w:t>oil-improvement products. The Company's near-term commercial focus is the rehabilitation of depleted topsoil at end-of-life mine sites in Northern Au</w:t>
      </w:r>
      <w:r w:rsidR="00611974">
        <w:rPr>
          <w:color w:val="000000"/>
        </w:rPr>
        <w:t>s</w:t>
      </w:r>
      <w:r>
        <w:rPr>
          <w:color w:val="000000"/>
        </w:rPr>
        <w:t xml:space="preserve">tralia — a market driven by mining companies' statutory rehabilitation obligations rather than discretionary spend. Longer term, the Company has flagged (but has deliberately not modelled in its current financial case) </w:t>
      </w:r>
      <w:r w:rsidR="00611974">
        <w:rPr>
          <w:color w:val="000000"/>
        </w:rPr>
        <w:t>additional</w:t>
      </w:r>
      <w:r>
        <w:rPr>
          <w:color w:val="000000"/>
        </w:rPr>
        <w:t xml:space="preserve"> product streams </w:t>
      </w:r>
      <w:r w:rsidR="00611974">
        <w:rPr>
          <w:color w:val="000000"/>
        </w:rPr>
        <w:t>such as</w:t>
      </w:r>
      <w:r>
        <w:rPr>
          <w:color w:val="000000"/>
        </w:rPr>
        <w:t xml:space="preserve"> agar/hydrocolloids and pigments.</w:t>
      </w:r>
    </w:p>
    <w:p w14:paraId="4C652EE8" w14:textId="222567DA" w:rsidR="00EE7390" w:rsidRDefault="0056086B">
      <w:pPr>
        <w:spacing w:after="160"/>
        <w:jc w:val="both"/>
      </w:pPr>
      <w:r>
        <w:rPr>
          <w:color w:val="000000"/>
        </w:rPr>
        <w:t xml:space="preserve">The Company is founded and led by Alison Duguid, a fifth-generation Northern Territory local and chemical engineer whose PhD research </w:t>
      </w:r>
      <w:r w:rsidR="00611974">
        <w:rPr>
          <w:color w:val="000000"/>
        </w:rPr>
        <w:t xml:space="preserve">at the </w:t>
      </w:r>
      <w:r>
        <w:rPr>
          <w:color w:val="000000"/>
        </w:rPr>
        <w:t>University of Western Australia underpins the Company's core extraction technology. NASC has assembled a small but credible team and advisory bench, secured non-binding partnership frameworks with several Northern Territory and Western Australian institutions, and is in early, discussions with three mining groups (</w:t>
      </w:r>
      <w:r w:rsidR="004A127D">
        <w:rPr>
          <w:color w:val="000000"/>
        </w:rPr>
        <w:t xml:space="preserve">i.e. </w:t>
      </w:r>
      <w:r>
        <w:rPr>
          <w:color w:val="000000"/>
        </w:rPr>
        <w:t>Rio Tinto, BHP and South32) about pilot and trial work</w:t>
      </w:r>
      <w:r w:rsidR="004A127D">
        <w:rPr>
          <w:color w:val="000000"/>
        </w:rPr>
        <w:t xml:space="preserve"> for their soil rehabilitation product</w:t>
      </w:r>
      <w:r>
        <w:rPr>
          <w:color w:val="000000"/>
        </w:rPr>
        <w:t xml:space="preserve">. </w:t>
      </w:r>
      <w:r w:rsidR="004A127D">
        <w:rPr>
          <w:color w:val="000000"/>
        </w:rPr>
        <w:t>NASC</w:t>
      </w:r>
      <w:r>
        <w:rPr>
          <w:color w:val="000000"/>
        </w:rPr>
        <w:t xml:space="preserve"> has not yet secured a signed commercial contract, letter of support, or expression of interest from any of these mining companies — </w:t>
      </w:r>
      <w:r w:rsidR="00E34114">
        <w:rPr>
          <w:color w:val="000000"/>
        </w:rPr>
        <w:t>which is</w:t>
      </w:r>
      <w:r>
        <w:rPr>
          <w:color w:val="000000"/>
        </w:rPr>
        <w:t xml:space="preserve"> the single most important gap in the Company's evidence base and should be a priority focus </w:t>
      </w:r>
      <w:r w:rsidR="00E34114">
        <w:rPr>
          <w:color w:val="000000"/>
        </w:rPr>
        <w:t xml:space="preserve">during </w:t>
      </w:r>
      <w:r>
        <w:rPr>
          <w:color w:val="000000"/>
        </w:rPr>
        <w:t>due diligence</w:t>
      </w:r>
      <w:r w:rsidR="00E34114">
        <w:rPr>
          <w:color w:val="000000"/>
        </w:rPr>
        <w:t>.</w:t>
      </w:r>
    </w:p>
    <w:p w14:paraId="60C56A86" w14:textId="3EF6E3B0" w:rsidR="00EE7390" w:rsidRPr="00D250C5" w:rsidRDefault="0056086B">
      <w:pPr>
        <w:spacing w:after="160"/>
        <w:jc w:val="both"/>
        <w:rPr>
          <w:color w:val="000000"/>
        </w:rPr>
      </w:pPr>
      <w:r>
        <w:rPr>
          <w:color w:val="000000"/>
        </w:rPr>
        <w:t xml:space="preserve">The Company is raising </w:t>
      </w:r>
      <w:r w:rsidR="00E34114">
        <w:rPr>
          <w:color w:val="000000"/>
        </w:rPr>
        <w:t>up</w:t>
      </w:r>
      <w:r w:rsidR="00D250C5">
        <w:rPr>
          <w:color w:val="000000"/>
        </w:rPr>
        <w:t xml:space="preserve"> </w:t>
      </w:r>
      <w:r w:rsidR="00E34114">
        <w:rPr>
          <w:color w:val="000000"/>
        </w:rPr>
        <w:t>to</w:t>
      </w:r>
      <w:r>
        <w:rPr>
          <w:color w:val="000000"/>
        </w:rPr>
        <w:t xml:space="preserve"> $1.35 million in this round, anchored by an executed SAFE with Paspalis Capital Pty Ltd ($50,000; 20% discount; $5,000,000 valuation cap) and </w:t>
      </w:r>
      <w:r w:rsidR="007753ED">
        <w:rPr>
          <w:color w:val="000000"/>
        </w:rPr>
        <w:t>an executed SAFE with an Angel Investor &amp; Advisor , Katrina Fong Lim ($100,000; 20% discount; $5,000,000 valuation cap).</w:t>
      </w:r>
      <w:r w:rsidR="00D250C5">
        <w:rPr>
          <w:color w:val="000000"/>
        </w:rPr>
        <w:t xml:space="preserve"> NASC is currently undergoing due diligence with </w:t>
      </w:r>
      <w:r>
        <w:rPr>
          <w:color w:val="000000"/>
        </w:rPr>
        <w:t xml:space="preserve">Paspalis Capital Pty Ltd </w:t>
      </w:r>
      <w:r w:rsidR="00D250C5">
        <w:rPr>
          <w:color w:val="000000"/>
        </w:rPr>
        <w:t>for up</w:t>
      </w:r>
      <w:r w:rsidR="00AB5096">
        <w:rPr>
          <w:color w:val="000000"/>
        </w:rPr>
        <w:t xml:space="preserve"> </w:t>
      </w:r>
      <w:r w:rsidR="00D250C5">
        <w:rPr>
          <w:color w:val="000000"/>
        </w:rPr>
        <w:t>to $1</w:t>
      </w:r>
      <w:r w:rsidR="00AB5096">
        <w:rPr>
          <w:color w:val="000000"/>
        </w:rPr>
        <w:t xml:space="preserve"> million as the winner of</w:t>
      </w:r>
      <w:r>
        <w:rPr>
          <w:color w:val="000000"/>
        </w:rPr>
        <w:t xml:space="preserve"> Croc</w:t>
      </w:r>
      <w:r w:rsidR="00AB5096">
        <w:rPr>
          <w:color w:val="000000"/>
        </w:rPr>
        <w:t xml:space="preserve"> </w:t>
      </w:r>
      <w:r>
        <w:rPr>
          <w:color w:val="000000"/>
        </w:rPr>
        <w:t xml:space="preserve">Pitch </w:t>
      </w:r>
      <w:r w:rsidR="00AB5096">
        <w:rPr>
          <w:color w:val="000000"/>
        </w:rPr>
        <w:t>2026</w:t>
      </w:r>
      <w:r>
        <w:rPr>
          <w:color w:val="000000"/>
        </w:rPr>
        <w:t xml:space="preserve">, with the remaining balance being sought from a third party. </w:t>
      </w:r>
    </w:p>
    <w:p w14:paraId="10947445" w14:textId="542A9E5E" w:rsidR="00EE7390" w:rsidRDefault="0056086B">
      <w:pPr>
        <w:spacing w:after="160"/>
        <w:jc w:val="both"/>
      </w:pPr>
      <w:r>
        <w:rPr>
          <w:color w:val="000000"/>
        </w:rPr>
        <w:t>From a regional-impact perspective, the Company's thesis is well aligned with Northern Territory government priorities: it proposes to convert a long-tail environmental and fiscal liability (mine site rehabilitation) into a locally owned, Traditional Owner</w:t>
      </w:r>
      <w:r w:rsidR="007F1929">
        <w:rPr>
          <w:color w:val="000000"/>
        </w:rPr>
        <w:t xml:space="preserve"> led</w:t>
      </w:r>
      <w:r>
        <w:rPr>
          <w:color w:val="000000"/>
        </w:rPr>
        <w:t xml:space="preserve"> industry, with a stated intention to base its operations, hiring and training pipeline in the Territory. These arrangements are presently at a non-binding, conceptual or early-M</w:t>
      </w:r>
      <w:r w:rsidR="004C0C61">
        <w:rPr>
          <w:color w:val="000000"/>
        </w:rPr>
        <w:t xml:space="preserve">emorandum of </w:t>
      </w:r>
      <w:r>
        <w:rPr>
          <w:color w:val="000000"/>
        </w:rPr>
        <w:t>U</w:t>
      </w:r>
      <w:r w:rsidR="004C0C61">
        <w:rPr>
          <w:color w:val="000000"/>
        </w:rPr>
        <w:t>nderstanding</w:t>
      </w:r>
      <w:r>
        <w:rPr>
          <w:color w:val="000000"/>
        </w:rPr>
        <w:t xml:space="preserve"> stage</w:t>
      </w:r>
      <w:r w:rsidR="004C0C61">
        <w:rPr>
          <w:color w:val="000000"/>
        </w:rPr>
        <w:t>.</w:t>
      </w:r>
    </w:p>
    <w:p w14:paraId="2A3D2986" w14:textId="40D96E2F" w:rsidR="00EE7390" w:rsidRDefault="0056086B">
      <w:pPr>
        <w:spacing w:after="160"/>
        <w:jc w:val="both"/>
      </w:pPr>
      <w:r>
        <w:rPr>
          <w:color w:val="000000"/>
        </w:rPr>
        <w:t xml:space="preserve">We recommend the Committee proceed to a structured due diligence phase. </w:t>
      </w:r>
    </w:p>
    <w:p w14:paraId="681DD574" w14:textId="77777777" w:rsidR="00AF44F2" w:rsidRDefault="00AF44F2">
      <w:pPr>
        <w:rPr>
          <w:b/>
          <w:bCs/>
          <w:color w:val="1F3864"/>
          <w:sz w:val="27"/>
          <w:szCs w:val="27"/>
        </w:rPr>
      </w:pPr>
      <w:r>
        <w:rPr>
          <w:b/>
          <w:bCs/>
          <w:color w:val="1F3864"/>
          <w:sz w:val="27"/>
          <w:szCs w:val="27"/>
        </w:rPr>
        <w:br w:type="page"/>
      </w:r>
    </w:p>
    <w:p w14:paraId="076EC4D6" w14:textId="7064DA76" w:rsidR="00EE7390" w:rsidRDefault="0056086B">
      <w:pPr>
        <w:pStyle w:val="Heading1"/>
        <w:pBdr>
          <w:bottom w:val="single" w:sz="8" w:space="4" w:color="1F3864"/>
        </w:pBdr>
        <w:spacing w:before="400" w:after="160"/>
      </w:pPr>
      <w:r>
        <w:rPr>
          <w:b/>
          <w:bCs/>
          <w:color w:val="1F3864"/>
          <w:sz w:val="27"/>
          <w:szCs w:val="27"/>
        </w:rPr>
        <w:lastRenderedPageBreak/>
        <w:t>2. Transaction Overview</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EE7390" w14:paraId="1CC8DD75" w14:textId="77777777">
        <w:trPr>
          <w:tblHeader/>
        </w:trPr>
        <w:tc>
          <w:tcPr>
            <w:tcW w:w="2600" w:type="dxa"/>
            <w:shd w:val="clear" w:color="auto" w:fill="1F3864"/>
            <w:tcMar>
              <w:top w:w="80" w:type="dxa"/>
              <w:left w:w="110" w:type="dxa"/>
              <w:bottom w:w="80" w:type="dxa"/>
              <w:right w:w="110" w:type="dxa"/>
            </w:tcMar>
            <w:vAlign w:val="center"/>
          </w:tcPr>
          <w:p w14:paraId="3F820056" w14:textId="77777777" w:rsidR="00EE7390" w:rsidRDefault="0056086B">
            <w:r>
              <w:rPr>
                <w:b/>
                <w:bCs/>
                <w:color w:val="FFFFFF"/>
                <w:sz w:val="20"/>
                <w:szCs w:val="20"/>
              </w:rPr>
              <w:t>Item</w:t>
            </w:r>
          </w:p>
        </w:tc>
        <w:tc>
          <w:tcPr>
            <w:tcW w:w="6750" w:type="dxa"/>
            <w:shd w:val="clear" w:color="auto" w:fill="1F3864"/>
            <w:tcMar>
              <w:top w:w="80" w:type="dxa"/>
              <w:left w:w="110" w:type="dxa"/>
              <w:bottom w:w="80" w:type="dxa"/>
              <w:right w:w="110" w:type="dxa"/>
            </w:tcMar>
            <w:vAlign w:val="center"/>
          </w:tcPr>
          <w:p w14:paraId="7953BEBA" w14:textId="77777777" w:rsidR="00EE7390" w:rsidRDefault="0056086B">
            <w:r>
              <w:rPr>
                <w:b/>
                <w:bCs/>
                <w:color w:val="FFFFFF"/>
                <w:sz w:val="20"/>
                <w:szCs w:val="20"/>
              </w:rPr>
              <w:t>Summary</w:t>
            </w:r>
          </w:p>
        </w:tc>
      </w:tr>
      <w:tr w:rsidR="00EE7390" w14:paraId="15B7A1F7" w14:textId="77777777">
        <w:tc>
          <w:tcPr>
            <w:tcW w:w="2600" w:type="dxa"/>
            <w:tcMar>
              <w:top w:w="80" w:type="dxa"/>
              <w:left w:w="110" w:type="dxa"/>
              <w:bottom w:w="80" w:type="dxa"/>
              <w:right w:w="110" w:type="dxa"/>
            </w:tcMar>
            <w:vAlign w:val="center"/>
          </w:tcPr>
          <w:p w14:paraId="60E49CF4" w14:textId="17D5843F" w:rsidR="00EE7390" w:rsidRDefault="000E39B9">
            <w:r>
              <w:rPr>
                <w:color w:val="000000"/>
                <w:sz w:val="20"/>
                <w:szCs w:val="20"/>
              </w:rPr>
              <w:t>Prior capital raised</w:t>
            </w:r>
          </w:p>
        </w:tc>
        <w:tc>
          <w:tcPr>
            <w:tcW w:w="6750" w:type="dxa"/>
            <w:tcMar>
              <w:top w:w="80" w:type="dxa"/>
              <w:left w:w="110" w:type="dxa"/>
              <w:bottom w:w="80" w:type="dxa"/>
              <w:right w:w="110" w:type="dxa"/>
            </w:tcMar>
            <w:vAlign w:val="center"/>
          </w:tcPr>
          <w:p w14:paraId="486D5EB6" w14:textId="77777777" w:rsidR="0016004F" w:rsidRDefault="0056086B">
            <w:pPr>
              <w:rPr>
                <w:color w:val="000000"/>
                <w:sz w:val="20"/>
                <w:szCs w:val="20"/>
              </w:rPr>
            </w:pPr>
            <w:r>
              <w:rPr>
                <w:color w:val="000000"/>
                <w:sz w:val="20"/>
                <w:szCs w:val="20"/>
              </w:rPr>
              <w:t>Simple Agreement for Future Equity (SAFE) — Australian market-standard form.</w:t>
            </w:r>
          </w:p>
          <w:p w14:paraId="6F9DF0E3" w14:textId="08BB35B0" w:rsidR="0016004F" w:rsidRPr="0016004F" w:rsidRDefault="00AF44F2" w:rsidP="0016004F">
            <w:pPr>
              <w:pStyle w:val="ListParagraph"/>
              <w:numPr>
                <w:ilvl w:val="0"/>
                <w:numId w:val="3"/>
              </w:numPr>
            </w:pPr>
            <w:r w:rsidRPr="0016004F">
              <w:rPr>
                <w:color w:val="000000"/>
                <w:sz w:val="20"/>
                <w:szCs w:val="20"/>
              </w:rPr>
              <w:t xml:space="preserve">Paspalis Capital's SAFE for $50,000 </w:t>
            </w:r>
          </w:p>
          <w:p w14:paraId="534C181B" w14:textId="4D170F85" w:rsidR="0016004F" w:rsidRPr="0016004F" w:rsidRDefault="0016004F" w:rsidP="0016004F">
            <w:pPr>
              <w:pStyle w:val="ListParagraph"/>
              <w:numPr>
                <w:ilvl w:val="0"/>
                <w:numId w:val="3"/>
              </w:numPr>
            </w:pPr>
            <w:r>
              <w:rPr>
                <w:color w:val="000000"/>
                <w:sz w:val="20"/>
                <w:szCs w:val="20"/>
              </w:rPr>
              <w:t>Katrina Fong Lim for $100,000</w:t>
            </w:r>
            <w:r w:rsidR="00853DEF">
              <w:rPr>
                <w:color w:val="000000"/>
                <w:sz w:val="20"/>
                <w:szCs w:val="20"/>
              </w:rPr>
              <w:t xml:space="preserve"> </w:t>
            </w:r>
            <w:r w:rsidRPr="0016004F">
              <w:rPr>
                <w:color w:val="000000"/>
                <w:sz w:val="20"/>
                <w:szCs w:val="20"/>
              </w:rPr>
              <w:t xml:space="preserve"> </w:t>
            </w:r>
          </w:p>
          <w:p w14:paraId="69D9D2F6" w14:textId="77777777" w:rsidR="00EE7390" w:rsidRDefault="00853DEF" w:rsidP="00853DEF">
            <w:pPr>
              <w:rPr>
                <w:color w:val="000000"/>
                <w:sz w:val="20"/>
                <w:szCs w:val="20"/>
              </w:rPr>
            </w:pPr>
            <w:r>
              <w:rPr>
                <w:color w:val="000000"/>
                <w:sz w:val="20"/>
                <w:szCs w:val="20"/>
              </w:rPr>
              <w:t>T</w:t>
            </w:r>
            <w:r w:rsidRPr="00853DEF">
              <w:rPr>
                <w:color w:val="000000"/>
                <w:sz w:val="20"/>
                <w:szCs w:val="20"/>
              </w:rPr>
              <w:t xml:space="preserve">he balance of the round is under </w:t>
            </w:r>
            <w:r w:rsidR="0016004F" w:rsidRPr="00853DEF">
              <w:rPr>
                <w:color w:val="000000"/>
                <w:sz w:val="20"/>
                <w:szCs w:val="20"/>
              </w:rPr>
              <w:t>discussion,</w:t>
            </w:r>
            <w:r w:rsidRPr="00853DEF">
              <w:rPr>
                <w:color w:val="000000"/>
                <w:sz w:val="20"/>
                <w:szCs w:val="20"/>
              </w:rPr>
              <w:t xml:space="preserve"> and its final instrument (further SAFE, priced equity, or a mix) </w:t>
            </w:r>
            <w:r>
              <w:rPr>
                <w:color w:val="000000"/>
                <w:sz w:val="20"/>
                <w:szCs w:val="20"/>
              </w:rPr>
              <w:t>will be confirmed o</w:t>
            </w:r>
            <w:r w:rsidR="00757387">
              <w:rPr>
                <w:color w:val="000000"/>
                <w:sz w:val="20"/>
                <w:szCs w:val="20"/>
              </w:rPr>
              <w:t>nce the company valuation is agreed as apart of the current capital raise.</w:t>
            </w:r>
          </w:p>
          <w:p w14:paraId="58D2AF8B" w14:textId="77777777" w:rsidR="00757387" w:rsidRDefault="00757387" w:rsidP="00853DEF">
            <w:pPr>
              <w:rPr>
                <w:color w:val="000000"/>
                <w:sz w:val="20"/>
                <w:szCs w:val="20"/>
              </w:rPr>
            </w:pPr>
          </w:p>
          <w:p w14:paraId="3D663979" w14:textId="62AB6CFD" w:rsidR="00757387" w:rsidRDefault="00757387" w:rsidP="00853DEF">
            <w:r>
              <w:rPr>
                <w:color w:val="000000"/>
                <w:sz w:val="20"/>
                <w:szCs w:val="20"/>
              </w:rPr>
              <w:t>Both of these SAFE notes are under the same conditions with a $5,000,000 valuation cap with a 20% discount</w:t>
            </w:r>
          </w:p>
        </w:tc>
      </w:tr>
      <w:tr w:rsidR="00EE7390" w14:paraId="00010771" w14:textId="77777777">
        <w:tc>
          <w:tcPr>
            <w:tcW w:w="2600" w:type="dxa"/>
            <w:shd w:val="clear" w:color="auto" w:fill="F2F2F2"/>
            <w:tcMar>
              <w:top w:w="80" w:type="dxa"/>
              <w:left w:w="110" w:type="dxa"/>
              <w:bottom w:w="80" w:type="dxa"/>
              <w:right w:w="110" w:type="dxa"/>
            </w:tcMar>
            <w:vAlign w:val="center"/>
          </w:tcPr>
          <w:p w14:paraId="40CD2D63" w14:textId="77F2D54B" w:rsidR="00EE7390" w:rsidRDefault="00757387">
            <w:r>
              <w:rPr>
                <w:color w:val="000000"/>
                <w:sz w:val="20"/>
                <w:szCs w:val="20"/>
              </w:rPr>
              <w:t xml:space="preserve">Pre-Money Valuation </w:t>
            </w:r>
          </w:p>
        </w:tc>
        <w:tc>
          <w:tcPr>
            <w:tcW w:w="6750" w:type="dxa"/>
            <w:shd w:val="clear" w:color="auto" w:fill="F2F2F2"/>
            <w:tcMar>
              <w:top w:w="80" w:type="dxa"/>
              <w:left w:w="110" w:type="dxa"/>
              <w:bottom w:w="80" w:type="dxa"/>
              <w:right w:w="110" w:type="dxa"/>
            </w:tcMar>
            <w:vAlign w:val="center"/>
          </w:tcPr>
          <w:p w14:paraId="1A5312B2" w14:textId="64CA04D8" w:rsidR="00EE7390" w:rsidRDefault="00757387">
            <w:r>
              <w:t>$6,500,000 (AUD)</w:t>
            </w:r>
          </w:p>
        </w:tc>
      </w:tr>
      <w:tr w:rsidR="00EE7390" w14:paraId="42587B72" w14:textId="77777777">
        <w:tc>
          <w:tcPr>
            <w:tcW w:w="2600" w:type="dxa"/>
            <w:tcMar>
              <w:top w:w="80" w:type="dxa"/>
              <w:left w:w="110" w:type="dxa"/>
              <w:bottom w:w="80" w:type="dxa"/>
              <w:right w:w="110" w:type="dxa"/>
            </w:tcMar>
            <w:vAlign w:val="center"/>
          </w:tcPr>
          <w:p w14:paraId="4287262F" w14:textId="77777777" w:rsidR="00EE7390" w:rsidRDefault="0056086B">
            <w:r>
              <w:rPr>
                <w:color w:val="000000"/>
                <w:sz w:val="20"/>
                <w:szCs w:val="20"/>
              </w:rPr>
              <w:t>Current raise target</w:t>
            </w:r>
          </w:p>
        </w:tc>
        <w:tc>
          <w:tcPr>
            <w:tcW w:w="6750" w:type="dxa"/>
            <w:tcMar>
              <w:top w:w="80" w:type="dxa"/>
              <w:left w:w="110" w:type="dxa"/>
              <w:bottom w:w="80" w:type="dxa"/>
              <w:right w:w="110" w:type="dxa"/>
            </w:tcMar>
            <w:vAlign w:val="center"/>
          </w:tcPr>
          <w:p w14:paraId="55D0B264" w14:textId="37F50CFB" w:rsidR="00EE7390" w:rsidRDefault="00757387">
            <w:r>
              <w:rPr>
                <w:color w:val="000000"/>
                <w:sz w:val="20"/>
                <w:szCs w:val="20"/>
              </w:rPr>
              <w:t>Up to $1,350,000</w:t>
            </w:r>
          </w:p>
        </w:tc>
      </w:tr>
      <w:tr w:rsidR="0074335F" w14:paraId="28415E68" w14:textId="77777777">
        <w:tc>
          <w:tcPr>
            <w:tcW w:w="2600" w:type="dxa"/>
            <w:tcMar>
              <w:top w:w="80" w:type="dxa"/>
              <w:left w:w="110" w:type="dxa"/>
              <w:bottom w:w="80" w:type="dxa"/>
              <w:right w:w="110" w:type="dxa"/>
            </w:tcMar>
            <w:vAlign w:val="center"/>
          </w:tcPr>
          <w:p w14:paraId="753043D0" w14:textId="636881FA" w:rsidR="0074335F" w:rsidRDefault="0074335F">
            <w:pPr>
              <w:rPr>
                <w:color w:val="000000"/>
                <w:sz w:val="20"/>
                <w:szCs w:val="20"/>
              </w:rPr>
            </w:pPr>
            <w:r>
              <w:rPr>
                <w:color w:val="000000"/>
                <w:sz w:val="20"/>
                <w:szCs w:val="20"/>
              </w:rPr>
              <w:t>Minimum raise amount</w:t>
            </w:r>
          </w:p>
        </w:tc>
        <w:tc>
          <w:tcPr>
            <w:tcW w:w="6750" w:type="dxa"/>
            <w:tcMar>
              <w:top w:w="80" w:type="dxa"/>
              <w:left w:w="110" w:type="dxa"/>
              <w:bottom w:w="80" w:type="dxa"/>
              <w:right w:w="110" w:type="dxa"/>
            </w:tcMar>
            <w:vAlign w:val="center"/>
          </w:tcPr>
          <w:p w14:paraId="57A67773" w14:textId="6F6584AB" w:rsidR="0074335F" w:rsidRDefault="0074335F">
            <w:pPr>
              <w:rPr>
                <w:color w:val="000000"/>
                <w:sz w:val="20"/>
                <w:szCs w:val="20"/>
              </w:rPr>
            </w:pPr>
            <w:r>
              <w:rPr>
                <w:color w:val="000000"/>
                <w:sz w:val="20"/>
                <w:szCs w:val="20"/>
              </w:rPr>
              <w:t>$750,000</w:t>
            </w:r>
          </w:p>
        </w:tc>
      </w:tr>
      <w:tr w:rsidR="00EE7390" w14:paraId="1ED632B7" w14:textId="77777777">
        <w:tc>
          <w:tcPr>
            <w:tcW w:w="2600" w:type="dxa"/>
            <w:tcMar>
              <w:top w:w="80" w:type="dxa"/>
              <w:left w:w="110" w:type="dxa"/>
              <w:bottom w:w="80" w:type="dxa"/>
              <w:right w:w="110" w:type="dxa"/>
            </w:tcMar>
            <w:vAlign w:val="center"/>
          </w:tcPr>
          <w:p w14:paraId="67713E8E" w14:textId="5A2F4000" w:rsidR="00EE7390" w:rsidRDefault="000E39B9">
            <w:r>
              <w:rPr>
                <w:color w:val="000000"/>
                <w:sz w:val="20"/>
                <w:szCs w:val="20"/>
              </w:rPr>
              <w:t xml:space="preserve">Other Grants &amp; Funding </w:t>
            </w:r>
          </w:p>
        </w:tc>
        <w:tc>
          <w:tcPr>
            <w:tcW w:w="6750" w:type="dxa"/>
            <w:tcMar>
              <w:top w:w="80" w:type="dxa"/>
              <w:left w:w="110" w:type="dxa"/>
              <w:bottom w:w="80" w:type="dxa"/>
              <w:right w:w="110" w:type="dxa"/>
            </w:tcMar>
            <w:vAlign w:val="center"/>
          </w:tcPr>
          <w:p w14:paraId="301DED6E" w14:textId="77777777" w:rsidR="008507B9" w:rsidRPr="00E97160" w:rsidRDefault="008507B9" w:rsidP="00E97160">
            <w:pPr>
              <w:pStyle w:val="ListParagraph"/>
              <w:numPr>
                <w:ilvl w:val="0"/>
                <w:numId w:val="4"/>
              </w:numPr>
              <w:rPr>
                <w:color w:val="000000"/>
                <w:sz w:val="20"/>
                <w:szCs w:val="20"/>
              </w:rPr>
            </w:pPr>
            <w:r w:rsidRPr="00E97160">
              <w:rPr>
                <w:color w:val="000000"/>
                <w:sz w:val="20"/>
                <w:szCs w:val="20"/>
              </w:rPr>
              <w:t>Founder Contribution - $50,000 cash for Ordinary Shares</w:t>
            </w:r>
          </w:p>
          <w:p w14:paraId="54792CF6" w14:textId="26F2C75C" w:rsidR="005C3E9E" w:rsidRPr="00E97160" w:rsidRDefault="005C3E9E" w:rsidP="00E97160">
            <w:pPr>
              <w:pStyle w:val="ListParagraph"/>
              <w:numPr>
                <w:ilvl w:val="0"/>
                <w:numId w:val="4"/>
              </w:numPr>
              <w:rPr>
                <w:color w:val="000000"/>
                <w:sz w:val="20"/>
                <w:szCs w:val="20"/>
              </w:rPr>
            </w:pPr>
            <w:r w:rsidRPr="00E97160">
              <w:rPr>
                <w:color w:val="000000"/>
                <w:sz w:val="20"/>
                <w:szCs w:val="20"/>
              </w:rPr>
              <w:t>Founders Factory “FF Nature Tech” accelerator - $50,000 cash and c. $150,000 in-kind programme value, in exchange for an option resulting in c. 1% of ordinary shares</w:t>
            </w:r>
          </w:p>
          <w:p w14:paraId="43E022C6" w14:textId="18F7383A" w:rsidR="00220613" w:rsidRPr="00E97160" w:rsidRDefault="00220613" w:rsidP="00E97160">
            <w:pPr>
              <w:pStyle w:val="ListParagraph"/>
              <w:numPr>
                <w:ilvl w:val="0"/>
                <w:numId w:val="4"/>
              </w:numPr>
              <w:rPr>
                <w:color w:val="000000"/>
                <w:sz w:val="20"/>
                <w:szCs w:val="20"/>
              </w:rPr>
            </w:pPr>
            <w:r w:rsidRPr="00E97160">
              <w:rPr>
                <w:color w:val="000000"/>
                <w:sz w:val="20"/>
                <w:szCs w:val="20"/>
              </w:rPr>
              <w:t>Venture UWA Programs - $27,500 equity free grant</w:t>
            </w:r>
          </w:p>
          <w:p w14:paraId="0601CBBB" w14:textId="520F2131" w:rsidR="008C1359" w:rsidRDefault="008C1359" w:rsidP="00E97160">
            <w:pPr>
              <w:pStyle w:val="ListParagraph"/>
              <w:numPr>
                <w:ilvl w:val="0"/>
                <w:numId w:val="4"/>
              </w:numPr>
              <w:rPr>
                <w:color w:val="000000"/>
                <w:sz w:val="20"/>
                <w:szCs w:val="20"/>
              </w:rPr>
            </w:pPr>
            <w:r w:rsidRPr="00E97160">
              <w:rPr>
                <w:color w:val="000000"/>
                <w:sz w:val="20"/>
                <w:szCs w:val="20"/>
              </w:rPr>
              <w:t xml:space="preserve">AgriHarvet Accelerator - $5,000 bursary </w:t>
            </w:r>
          </w:p>
          <w:p w14:paraId="24BEC4C4" w14:textId="7F4233CD" w:rsidR="00E97160" w:rsidRDefault="00926A6A" w:rsidP="00E97160">
            <w:pPr>
              <w:pStyle w:val="ListParagraph"/>
              <w:numPr>
                <w:ilvl w:val="0"/>
                <w:numId w:val="4"/>
              </w:numPr>
              <w:rPr>
                <w:color w:val="000000"/>
                <w:sz w:val="20"/>
                <w:szCs w:val="20"/>
              </w:rPr>
            </w:pPr>
            <w:r>
              <w:rPr>
                <w:color w:val="000000"/>
                <w:sz w:val="20"/>
                <w:szCs w:val="20"/>
              </w:rPr>
              <w:t>Maxima Pearling Company / JG Hutton</w:t>
            </w:r>
            <w:r w:rsidR="005D6BA6">
              <w:rPr>
                <w:color w:val="000000"/>
                <w:sz w:val="20"/>
                <w:szCs w:val="20"/>
              </w:rPr>
              <w:t xml:space="preserve"> Family Trust - </w:t>
            </w:r>
            <w:r w:rsidR="00DB53E1">
              <w:rPr>
                <w:color w:val="000000"/>
                <w:sz w:val="20"/>
                <w:szCs w:val="20"/>
              </w:rPr>
              <w:t xml:space="preserve">$90,000 in Consulting Services </w:t>
            </w:r>
            <w:r w:rsidR="008D4A58">
              <w:rPr>
                <w:color w:val="000000"/>
                <w:sz w:val="20"/>
                <w:szCs w:val="20"/>
              </w:rPr>
              <w:t>&amp; Project Partnerships</w:t>
            </w:r>
          </w:p>
          <w:p w14:paraId="7E79B9B4" w14:textId="78F5C4ED" w:rsidR="00EE7390" w:rsidRPr="00E80621" w:rsidRDefault="008D4A58" w:rsidP="00E80621">
            <w:pPr>
              <w:pStyle w:val="ListParagraph"/>
              <w:numPr>
                <w:ilvl w:val="0"/>
                <w:numId w:val="4"/>
              </w:numPr>
              <w:rPr>
                <w:color w:val="000000"/>
                <w:sz w:val="20"/>
                <w:szCs w:val="20"/>
              </w:rPr>
            </w:pPr>
            <w:r>
              <w:rPr>
                <w:color w:val="000000"/>
                <w:sz w:val="20"/>
                <w:szCs w:val="20"/>
              </w:rPr>
              <w:t>Other Consulting Income - $30,000</w:t>
            </w:r>
            <w:r w:rsidR="00E80621">
              <w:rPr>
                <w:color w:val="000000"/>
                <w:sz w:val="20"/>
                <w:szCs w:val="20"/>
              </w:rPr>
              <w:t xml:space="preserve"> in Consulting Services</w:t>
            </w:r>
          </w:p>
        </w:tc>
      </w:tr>
      <w:tr w:rsidR="00EE7390" w14:paraId="01701FBA" w14:textId="77777777">
        <w:tc>
          <w:tcPr>
            <w:tcW w:w="2600" w:type="dxa"/>
            <w:shd w:val="clear" w:color="auto" w:fill="F2F2F2"/>
            <w:tcMar>
              <w:top w:w="80" w:type="dxa"/>
              <w:left w:w="110" w:type="dxa"/>
              <w:bottom w:w="80" w:type="dxa"/>
              <w:right w:w="110" w:type="dxa"/>
            </w:tcMar>
            <w:vAlign w:val="center"/>
          </w:tcPr>
          <w:p w14:paraId="1A6467C8" w14:textId="0790A319" w:rsidR="00EE7390" w:rsidRDefault="0056086B">
            <w:r>
              <w:rPr>
                <w:color w:val="000000"/>
                <w:sz w:val="20"/>
                <w:szCs w:val="20"/>
              </w:rPr>
              <w:t xml:space="preserve">Use of funds </w:t>
            </w:r>
          </w:p>
        </w:tc>
        <w:tc>
          <w:tcPr>
            <w:tcW w:w="6750" w:type="dxa"/>
            <w:shd w:val="clear" w:color="auto" w:fill="F2F2F2"/>
            <w:tcMar>
              <w:top w:w="80" w:type="dxa"/>
              <w:left w:w="110" w:type="dxa"/>
              <w:bottom w:w="80" w:type="dxa"/>
              <w:right w:w="110" w:type="dxa"/>
            </w:tcMar>
            <w:vAlign w:val="center"/>
          </w:tcPr>
          <w:p w14:paraId="18EE1A35" w14:textId="77777777" w:rsidR="00EE7390" w:rsidRDefault="0056086B">
            <w:r>
              <w:rPr>
                <w:color w:val="000000"/>
                <w:sz w:val="20"/>
                <w:szCs w:val="20"/>
              </w:rPr>
              <w:t>See Section 13 (Financial Summary) for the itemised breakdown.</w:t>
            </w:r>
          </w:p>
        </w:tc>
      </w:tr>
    </w:tbl>
    <w:p w14:paraId="3FF8DADC" w14:textId="77777777" w:rsidR="00EE7390" w:rsidRDefault="0056086B">
      <w:pPr>
        <w:pStyle w:val="Heading1"/>
        <w:pBdr>
          <w:bottom w:val="single" w:sz="8" w:space="4" w:color="1F3864"/>
        </w:pBdr>
        <w:spacing w:before="400" w:after="160"/>
      </w:pPr>
      <w:r>
        <w:rPr>
          <w:b/>
          <w:bCs/>
          <w:color w:val="1F3864"/>
          <w:sz w:val="27"/>
          <w:szCs w:val="27"/>
        </w:rPr>
        <w:t>3. Company Overview</w:t>
      </w:r>
    </w:p>
    <w:p w14:paraId="48F0FA2B" w14:textId="68D0059B" w:rsidR="00EE7390" w:rsidRDefault="0056086B">
      <w:pPr>
        <w:spacing w:after="160"/>
        <w:jc w:val="both"/>
      </w:pPr>
      <w:r>
        <w:rPr>
          <w:color w:val="000000"/>
        </w:rPr>
        <w:t xml:space="preserve">North Australian SeaCulture Pty Ltd (ACN 688 969 324, ABN 11 688 969 324) was incorporated on 11 July 2025, initially registered in </w:t>
      </w:r>
      <w:r w:rsidR="00FB0261">
        <w:rPr>
          <w:color w:val="000000"/>
        </w:rPr>
        <w:t xml:space="preserve">Esperance, </w:t>
      </w:r>
      <w:r>
        <w:rPr>
          <w:color w:val="000000"/>
        </w:rPr>
        <w:t>Western Australia</w:t>
      </w:r>
      <w:r w:rsidR="00FB0261">
        <w:rPr>
          <w:color w:val="000000"/>
        </w:rPr>
        <w:t xml:space="preserve"> in alignment with </w:t>
      </w:r>
      <w:r w:rsidR="005D4C0A">
        <w:rPr>
          <w:color w:val="000000"/>
        </w:rPr>
        <w:t>their Financial Services provider RSM</w:t>
      </w:r>
      <w:r>
        <w:rPr>
          <w:color w:val="000000"/>
        </w:rPr>
        <w:t>. In April 2026, the Company relocated its registered office and principal place of business to 1 Porter Street, Ludmilla, Northern Territory</w:t>
      </w:r>
      <w:r w:rsidR="005D4C0A">
        <w:rPr>
          <w:color w:val="000000"/>
        </w:rPr>
        <w:t>.</w:t>
      </w:r>
    </w:p>
    <w:p w14:paraId="5FBA3210" w14:textId="56C12493" w:rsidR="00EE7390" w:rsidRDefault="0056086B">
      <w:pPr>
        <w:spacing w:after="160"/>
        <w:jc w:val="both"/>
      </w:pPr>
      <w:r>
        <w:rPr>
          <w:color w:val="000000"/>
        </w:rPr>
        <w:t>The Company is pre-revenue at any meaningful scale. To date it has generated modest income from consulting/advisory services and has been funded primarily through founder cash contributions, grants, and the accelerator and SAFE arrangements described in Section 2. It employs at least one full-time staff member as at April 2026, with a part-time hire in negotiation</w:t>
      </w:r>
      <w:r w:rsidR="00427B20">
        <w:rPr>
          <w:color w:val="000000"/>
        </w:rPr>
        <w:t xml:space="preserve"> and multiple sub-contractor agreements for specific technical scopes of work.</w:t>
      </w:r>
    </w:p>
    <w:p w14:paraId="051F85FA" w14:textId="651A7621" w:rsidR="00EE7390" w:rsidRDefault="0056086B">
      <w:pPr>
        <w:spacing w:after="160"/>
        <w:jc w:val="both"/>
      </w:pPr>
      <w:r>
        <w:rPr>
          <w:color w:val="000000"/>
        </w:rPr>
        <w:t>The Company's stated mission is to build “deployable, community-owned seaweed cultivation and processing sites that restore ecosystems and underpin local circular economies,” targeting regional communities</w:t>
      </w:r>
      <w:r w:rsidR="00AF44F2">
        <w:rPr>
          <w:color w:val="000000"/>
        </w:rPr>
        <w:t>,</w:t>
      </w:r>
      <w:r>
        <w:rPr>
          <w:color w:val="000000"/>
        </w:rPr>
        <w:t xml:space="preserve"> particularly those historically dependent on mining, oil and ga</w:t>
      </w:r>
      <w:r w:rsidR="00AF44F2">
        <w:rPr>
          <w:color w:val="000000"/>
        </w:rPr>
        <w:t>s,</w:t>
      </w:r>
      <w:r>
        <w:rPr>
          <w:color w:val="000000"/>
        </w:rPr>
        <w:t xml:space="preserve"> as both the workforce and, in places, the commercial partner for its operations.</w:t>
      </w:r>
    </w:p>
    <w:p w14:paraId="25638C75" w14:textId="77777777" w:rsidR="00EE7390" w:rsidRDefault="0056086B">
      <w:pPr>
        <w:pStyle w:val="Heading1"/>
        <w:pBdr>
          <w:bottom w:val="single" w:sz="8" w:space="4" w:color="1F3864"/>
        </w:pBdr>
        <w:spacing w:before="400" w:after="160"/>
      </w:pPr>
      <w:r>
        <w:rPr>
          <w:b/>
          <w:bCs/>
          <w:color w:val="1F3864"/>
          <w:sz w:val="27"/>
          <w:szCs w:val="27"/>
        </w:rPr>
        <w:t>4. Founding Team &amp; Governance</w:t>
      </w:r>
    </w:p>
    <w:p w14:paraId="771026AA" w14:textId="77777777" w:rsidR="00EE7390" w:rsidRDefault="0056086B">
      <w:pPr>
        <w:pStyle w:val="Heading2"/>
        <w:spacing w:before="260" w:after="120"/>
      </w:pPr>
      <w:r>
        <w:rPr>
          <w:b/>
          <w:bCs/>
          <w:color w:val="44546A"/>
          <w:sz w:val="23"/>
          <w:szCs w:val="23"/>
        </w:rPr>
        <w:t>4.1 Founder</w:t>
      </w:r>
    </w:p>
    <w:p w14:paraId="41A83082" w14:textId="031F1E05" w:rsidR="00EE7390" w:rsidRDefault="0056086B">
      <w:pPr>
        <w:spacing w:after="160"/>
        <w:jc w:val="both"/>
      </w:pPr>
      <w:r>
        <w:rPr>
          <w:color w:val="000000"/>
        </w:rPr>
        <w:t>Alison Duguid (Founder &amp; CEO) is a fifth-generation Northern Territory local (Fong Lim family of Darwin) with a chemical engineering background (BSc and MEng, University of Western Australia, graduating with distinction). Her professional experience spans INPEX (Darwin), Power and Water Corporation (Darwin), GHD (process engineering, environmental approvals</w:t>
      </w:r>
      <w:r w:rsidR="00CA30A2">
        <w:rPr>
          <w:color w:val="000000"/>
        </w:rPr>
        <w:t>, project manager</w:t>
      </w:r>
      <w:r w:rsidR="0026060E">
        <w:rPr>
          <w:color w:val="000000"/>
        </w:rPr>
        <w:t xml:space="preserve"> and </w:t>
      </w:r>
      <w:r w:rsidR="00CA30A2">
        <w:rPr>
          <w:color w:val="000000"/>
        </w:rPr>
        <w:t>risk engineer</w:t>
      </w:r>
      <w:r>
        <w:rPr>
          <w:color w:val="000000"/>
        </w:rPr>
        <w:t xml:space="preserve"> NT and WA</w:t>
      </w:r>
      <w:r w:rsidR="0026060E">
        <w:rPr>
          <w:color w:val="000000"/>
        </w:rPr>
        <w:t xml:space="preserve">) BHP (National </w:t>
      </w:r>
      <w:r>
        <w:rPr>
          <w:color w:val="000000"/>
        </w:rPr>
        <w:t xml:space="preserve">innovation and </w:t>
      </w:r>
      <w:r>
        <w:rPr>
          <w:color w:val="000000"/>
        </w:rPr>
        <w:lastRenderedPageBreak/>
        <w:t xml:space="preserve">sustainability team </w:t>
      </w:r>
      <w:r w:rsidR="0026060E">
        <w:rPr>
          <w:color w:val="000000"/>
        </w:rPr>
        <w:t>for commercialising emerging technologies</w:t>
      </w:r>
      <w:r>
        <w:rPr>
          <w:color w:val="000000"/>
        </w:rPr>
        <w:t>), and, most recently, Head of Engineering at Canopy Blue (a WA-based seaweed cultivation company) from late 2023 to March 2025. She resigned from Canopy Blue and founded NASC in July 2025.</w:t>
      </w:r>
    </w:p>
    <w:p w14:paraId="6C59C284" w14:textId="467ABC56" w:rsidR="00EE7390" w:rsidRDefault="0056086B">
      <w:pPr>
        <w:spacing w:after="160"/>
        <w:jc w:val="both"/>
      </w:pPr>
      <w:r>
        <w:rPr>
          <w:color w:val="000000"/>
        </w:rPr>
        <w:t>Ms Duguid is concurrently completing a part-time PhD at UWA's Centre for Energy titled “Engineering seaweed products through extraction and phase separation to improve soil fertility.” This research is the technical foundation of NASC's processing approach. Her continuing PhD commitments (targeted completion by December 2030, per her employment agreement) mean her time is currently split between technical/research leadership and CEO duties — a normal feature of a deep-tech, founder-led pre-seed company, but</w:t>
      </w:r>
      <w:r>
        <w:rPr>
          <w:color w:val="000000"/>
        </w:rPr>
        <w:t xml:space="preserve"> one that increases reliance on the wider team and planned hires (below) as the Company scales.</w:t>
      </w:r>
    </w:p>
    <w:p w14:paraId="4A88333F" w14:textId="77777777" w:rsidR="00EE7390" w:rsidRDefault="0056086B">
      <w:pPr>
        <w:pStyle w:val="Heading2"/>
        <w:spacing w:before="260" w:after="120"/>
      </w:pPr>
      <w:r>
        <w:rPr>
          <w:b/>
          <w:bCs/>
          <w:color w:val="44546A"/>
          <w:sz w:val="23"/>
          <w:szCs w:val="23"/>
        </w:rPr>
        <w:t>4.2 Core team and advisors</w:t>
      </w:r>
    </w:p>
    <w:p w14:paraId="6622C3F0" w14:textId="77777777" w:rsidR="00EE7390" w:rsidRDefault="0056086B">
      <w:pPr>
        <w:pStyle w:val="ListParagraph"/>
        <w:numPr>
          <w:ilvl w:val="0"/>
          <w:numId w:val="2"/>
        </w:numPr>
        <w:spacing w:after="90"/>
      </w:pPr>
      <w:r>
        <w:rPr>
          <w:b/>
          <w:bCs/>
        </w:rPr>
        <w:t>Margie and Michael Rule (Drift Consulting)</w:t>
      </w:r>
      <w:r>
        <w:t xml:space="preserve"> — over 20 years' combined experience in seaweed biology and cultivation; contracted to support farming, training and site development.</w:t>
      </w:r>
    </w:p>
    <w:p w14:paraId="5EC3B609" w14:textId="77777777" w:rsidR="00EE7390" w:rsidRDefault="0056086B">
      <w:pPr>
        <w:pStyle w:val="ListParagraph"/>
        <w:numPr>
          <w:ilvl w:val="0"/>
          <w:numId w:val="2"/>
        </w:numPr>
        <w:spacing w:after="90"/>
      </w:pPr>
      <w:r>
        <w:rPr>
          <w:b/>
          <w:bCs/>
        </w:rPr>
        <w:t>Benjamin Piercy</w:t>
      </w:r>
      <w:r>
        <w:t xml:space="preserve"> — Chartered Accountant (RSM Esperance), finance and compliance.</w:t>
      </w:r>
    </w:p>
    <w:p w14:paraId="152B6E09" w14:textId="77777777" w:rsidR="00EE7390" w:rsidRDefault="0056086B">
      <w:pPr>
        <w:pStyle w:val="ListParagraph"/>
        <w:numPr>
          <w:ilvl w:val="0"/>
          <w:numId w:val="2"/>
        </w:numPr>
        <w:spacing w:after="90"/>
      </w:pPr>
      <w:r>
        <w:rPr>
          <w:b/>
          <w:bCs/>
        </w:rPr>
        <w:t>Cassidy Smith</w:t>
      </w:r>
      <w:r>
        <w:t xml:space="preserve"> — marketing and graphic design (agribusiness/design background).</w:t>
      </w:r>
    </w:p>
    <w:p w14:paraId="3E28FEED" w14:textId="77777777" w:rsidR="00EE7390" w:rsidRDefault="0056086B">
      <w:pPr>
        <w:pStyle w:val="ListParagraph"/>
        <w:numPr>
          <w:ilvl w:val="0"/>
          <w:numId w:val="2"/>
        </w:numPr>
        <w:spacing w:after="90"/>
      </w:pPr>
      <w:r>
        <w:rPr>
          <w:b/>
          <w:bCs/>
        </w:rPr>
        <w:t>Specialist advisors:</w:t>
      </w:r>
      <w:r>
        <w:t xml:space="preserve"> Ingrid Oyarzun (mining sustainability, Eramet</w:t>
      </w:r>
      <w:r>
        <w:t xml:space="preserve"> Ideas), Greg Riebe (WA angel investor — 2020 Australian Angel Investor of the Year), Steven Rowe (NT technology sector; sits on the NT Ministerial Digital Advisory Council and NT Research and Innovation Board) and Katrina Fong Lim (former Lord Mayor of Darwin, OAM; governance).</w:t>
      </w:r>
    </w:p>
    <w:p w14:paraId="45C891A7" w14:textId="77777777" w:rsidR="00EE7390" w:rsidRDefault="0056086B">
      <w:pPr>
        <w:pStyle w:val="ListParagraph"/>
        <w:numPr>
          <w:ilvl w:val="0"/>
          <w:numId w:val="2"/>
        </w:numPr>
        <w:spacing w:after="90"/>
      </w:pPr>
      <w:r>
        <w:rPr>
          <w:b/>
          <w:bCs/>
        </w:rPr>
        <w:t xml:space="preserve">Planned near-term hires: </w:t>
      </w:r>
      <w:r>
        <w:t>an NT-based Project Manager and a Community Engagement/BD Lead, funded from the current raise.</w:t>
      </w:r>
    </w:p>
    <w:p w14:paraId="3A889F6A" w14:textId="77777777" w:rsidR="00EE7390" w:rsidRDefault="0056086B">
      <w:pPr>
        <w:pStyle w:val="Heading2"/>
        <w:spacing w:before="260" w:after="120"/>
      </w:pPr>
      <w:r>
        <w:rPr>
          <w:b/>
          <w:bCs/>
          <w:color w:val="44546A"/>
          <w:sz w:val="23"/>
          <w:szCs w:val="23"/>
        </w:rPr>
        <w:t>4.3 Governance</w:t>
      </w:r>
    </w:p>
    <w:p w14:paraId="265886FE" w14:textId="77777777" w:rsidR="00EE7390" w:rsidRDefault="0056086B">
      <w:pPr>
        <w:spacing w:after="160"/>
        <w:jc w:val="both"/>
      </w:pPr>
      <w:r>
        <w:rPr>
          <w:color w:val="000000"/>
        </w:rPr>
        <w:t>NASC currently has a single director and company secretary (Ms Duguid) and no independent board; the individuals named above as “advisors” are informal advisors rather than appointed directors. This is typical for a company at this stage, but represents a governance concentration the Committee should factor into deal structuring (e.g. board seat and reserved-matter rights, key-person provisions).</w:t>
      </w:r>
    </w:p>
    <w:p w14:paraId="77CA6F99" w14:textId="77777777" w:rsidR="00EE7390" w:rsidRDefault="0056086B">
      <w:pPr>
        <w:spacing w:after="160"/>
        <w:jc w:val="both"/>
      </w:pPr>
      <w:r>
        <w:rPr>
          <w:color w:val="000000"/>
        </w:rPr>
        <w:t>Intellectual property: the Company's core process IP derives from Ms Duguid's PhD research at UWA. UWA's default institutional position is that PhD candidates own their own IP, but the Company's own records indicate this has not yet been confirmed in writing for NASC's specific commercial use. We recommend obtaining this confirmation from UWA's commercialisation office as a condition of, or prior to, completion.</w:t>
      </w:r>
    </w:p>
    <w:p w14:paraId="0E4A4669" w14:textId="77777777" w:rsidR="00AF44F2" w:rsidRDefault="00AF44F2">
      <w:pPr>
        <w:rPr>
          <w:b/>
          <w:bCs/>
          <w:color w:val="1F3864"/>
          <w:sz w:val="27"/>
          <w:szCs w:val="27"/>
        </w:rPr>
      </w:pPr>
      <w:r>
        <w:rPr>
          <w:b/>
          <w:bCs/>
          <w:color w:val="1F3864"/>
          <w:sz w:val="27"/>
          <w:szCs w:val="27"/>
        </w:rPr>
        <w:br w:type="page"/>
      </w:r>
    </w:p>
    <w:p w14:paraId="2C283506" w14:textId="4332C8B3" w:rsidR="00EE7390" w:rsidRDefault="0056086B">
      <w:pPr>
        <w:pStyle w:val="Heading1"/>
        <w:pBdr>
          <w:bottom w:val="single" w:sz="8" w:space="4" w:color="1F3864"/>
        </w:pBdr>
        <w:spacing w:before="400" w:after="160"/>
      </w:pPr>
      <w:r>
        <w:rPr>
          <w:b/>
          <w:bCs/>
          <w:color w:val="1F3864"/>
          <w:sz w:val="27"/>
          <w:szCs w:val="27"/>
        </w:rPr>
        <w:lastRenderedPageBreak/>
        <w:t>5. The Opportunity</w:t>
      </w:r>
    </w:p>
    <w:p w14:paraId="1D86E4FF" w14:textId="6758D890" w:rsidR="00EE7390" w:rsidRDefault="0056086B">
      <w:pPr>
        <w:spacing w:after="160"/>
        <w:jc w:val="both"/>
      </w:pPr>
      <w:r>
        <w:rPr>
          <w:color w:val="000000"/>
        </w:rPr>
        <w:t>Northern Australia's regional and remote economies are, in many places, structurally dependent on extractive industries with a finite operating life. When a mine reaches end-of-life, the surrounding community can face rapid economic contraction, while the mining company and ultimately government</w:t>
      </w:r>
      <w:r w:rsidR="00B07972">
        <w:rPr>
          <w:color w:val="000000"/>
        </w:rPr>
        <w:t>,</w:t>
      </w:r>
      <w:r>
        <w:rPr>
          <w:color w:val="000000"/>
        </w:rPr>
        <w:t xml:space="preserve"> carry a long-tail obligation to rehabilitate the land</w:t>
      </w:r>
      <w:r w:rsidR="00B07972">
        <w:rPr>
          <w:color w:val="000000"/>
        </w:rPr>
        <w:t>,</w:t>
      </w:r>
      <w:r>
        <w:rPr>
          <w:color w:val="000000"/>
        </w:rPr>
        <w:t xml:space="preserve"> including restoring soil health, not simply re-contouring and re-seeding it. The Company's research cites over 200 Australian mine sites projected to enter closure by 2040, and highlights that depleted, degraded topsoil, remote logistics, and thin local labour markets are recurring obstacles to rehabilitation at these sites.</w:t>
      </w:r>
    </w:p>
    <w:p w14:paraId="77D7008B" w14:textId="76F302BA" w:rsidR="00EE5DEC" w:rsidRDefault="0056086B">
      <w:pPr>
        <w:spacing w:after="160"/>
        <w:jc w:val="both"/>
        <w:rPr>
          <w:color w:val="000000"/>
        </w:rPr>
      </w:pPr>
      <w:r>
        <w:rPr>
          <w:color w:val="000000"/>
        </w:rPr>
        <w:t xml:space="preserve">Existing rehabilitation practice leans heavily on </w:t>
      </w:r>
      <w:r w:rsidR="003C3E3A">
        <w:rPr>
          <w:color w:val="000000"/>
        </w:rPr>
        <w:t xml:space="preserve">applying thin layers of top soil due to a limited </w:t>
      </w:r>
      <w:r w:rsidR="00073293">
        <w:rPr>
          <w:color w:val="000000"/>
        </w:rPr>
        <w:t>amount of available materials. This has led to poor mine rehabilitation results</w:t>
      </w:r>
      <w:r w:rsidR="00B94966">
        <w:rPr>
          <w:color w:val="000000"/>
        </w:rPr>
        <w:t xml:space="preserve"> to date, with sites such as the Argyle Mine in Western Australia unable to meet their closure requirements resulting in </w:t>
      </w:r>
      <w:r w:rsidR="007E5126">
        <w:rPr>
          <w:color w:val="000000"/>
        </w:rPr>
        <w:t>escalating</w:t>
      </w:r>
      <w:r w:rsidR="00B94966">
        <w:rPr>
          <w:color w:val="000000"/>
        </w:rPr>
        <w:t xml:space="preserve"> </w:t>
      </w:r>
      <w:r w:rsidR="004456FC">
        <w:rPr>
          <w:color w:val="000000"/>
        </w:rPr>
        <w:t>costs from $578 Million over 5 years to over $850 Million.</w:t>
      </w:r>
      <w:r w:rsidR="007E5126" w:rsidRPr="007E5126">
        <w:rPr>
          <w:color w:val="000000"/>
        </w:rPr>
        <w:t xml:space="preserve"> </w:t>
      </w:r>
      <w:r w:rsidR="007E5126">
        <w:rPr>
          <w:color w:val="000000"/>
        </w:rPr>
        <w:t xml:space="preserve">There is presently no scalable, nature-based, regionally-deployable alternative operating in Northern Australia at commercial scale. </w:t>
      </w:r>
    </w:p>
    <w:p w14:paraId="5B0BDEDB" w14:textId="03191DA0" w:rsidR="00EE7390" w:rsidRDefault="004456FC">
      <w:pPr>
        <w:spacing w:after="160"/>
        <w:jc w:val="both"/>
      </w:pPr>
      <w:r>
        <w:rPr>
          <w:color w:val="000000"/>
        </w:rPr>
        <w:t>Additionally, the agriculture industry relies on imported synthetic fertiliser inputs (Australia is reported to import over 90% of the roughly 8.7 million tonnes of fertiliser, worth c. $5.5 billion, it consumes annually)</w:t>
      </w:r>
      <w:r w:rsidR="000E0D9B">
        <w:rPr>
          <w:color w:val="000000"/>
        </w:rPr>
        <w:t>. NASC's thesis is that a native, seaweed-derived soil product, processed close to the point of use, can address this gap while also creating local employment and, potentially, a role for Traditional Owner groups in project delivery.</w:t>
      </w:r>
    </w:p>
    <w:p w14:paraId="717157B0" w14:textId="17389428" w:rsidR="00EE7390" w:rsidRDefault="0056086B">
      <w:pPr>
        <w:spacing w:after="160"/>
        <w:jc w:val="both"/>
      </w:pPr>
      <w:r>
        <w:rPr>
          <w:color w:val="000000"/>
        </w:rPr>
        <w:t>The underlying science</w:t>
      </w:r>
      <w:r w:rsidR="00B07972">
        <w:rPr>
          <w:color w:val="000000"/>
        </w:rPr>
        <w:t xml:space="preserve">, </w:t>
      </w:r>
      <w:r>
        <w:rPr>
          <w:color w:val="000000"/>
        </w:rPr>
        <w:t xml:space="preserve">that seaweed-derived </w:t>
      </w:r>
      <w:r w:rsidR="000E0D9B">
        <w:rPr>
          <w:color w:val="000000"/>
        </w:rPr>
        <w:t>materials</w:t>
      </w:r>
      <w:r>
        <w:rPr>
          <w:color w:val="000000"/>
        </w:rPr>
        <w:t xml:space="preserve"> can improve soil organic matter, nutrient availability and water-holding capacity</w:t>
      </w:r>
      <w:r w:rsidR="00B07972">
        <w:rPr>
          <w:color w:val="000000"/>
        </w:rPr>
        <w:t xml:space="preserve">, </w:t>
      </w:r>
      <w:r>
        <w:rPr>
          <w:color w:val="000000"/>
        </w:rPr>
        <w:t>is reasonably well supported in the peer-reviewed literature cited in the founder's own PhD research. What is not yet independently validated is NASC's specific commercial proposition: that its containerised process can deliver this benefit at a cost, quality and reliability that beats a mining company's current landed cost of rehabilitation inputs, at the scale a major or mid-tier miner would require. That gap is the central technical and commercial question for this investment.</w:t>
      </w:r>
    </w:p>
    <w:p w14:paraId="243DFCDD" w14:textId="77777777" w:rsidR="00EE7390" w:rsidRDefault="0056086B">
      <w:pPr>
        <w:pStyle w:val="Heading1"/>
        <w:pBdr>
          <w:bottom w:val="single" w:sz="8" w:space="4" w:color="1F3864"/>
        </w:pBdr>
        <w:spacing w:before="400" w:after="160"/>
      </w:pPr>
      <w:r>
        <w:rPr>
          <w:b/>
          <w:bCs/>
          <w:color w:val="1F3864"/>
          <w:sz w:val="27"/>
          <w:szCs w:val="27"/>
        </w:rPr>
        <w:t>6. Technology &amp; Business Model</w:t>
      </w:r>
    </w:p>
    <w:p w14:paraId="791A82C6" w14:textId="2861FC90" w:rsidR="00EE7390" w:rsidRDefault="0056086B">
      <w:pPr>
        <w:spacing w:after="160"/>
        <w:jc w:val="both"/>
      </w:pPr>
      <w:r>
        <w:rPr>
          <w:color w:val="000000"/>
        </w:rPr>
        <w:t xml:space="preserve">NASC cultivates native, seaweed species (with </w:t>
      </w:r>
      <w:r w:rsidR="008A1E05">
        <w:rPr>
          <w:color w:val="000000"/>
        </w:rPr>
        <w:t>Gracilleria</w:t>
      </w:r>
      <w:r>
        <w:rPr>
          <w:color w:val="000000"/>
        </w:rPr>
        <w:t xml:space="preserve"> as the current primary target species) in North Australian coastal waters, then processes the harvested biomass through a low-energy, water/hydrothermal extraction method designed to run inside a standard shipping container with minimal reliance on grid infrastructure (the Company's stated design intent is for the unit to run on a standalone generator, plug-in power, or solar). The stated aim is a zero-waste, multi-stream output</w:t>
      </w:r>
      <w:r w:rsidR="00B07972">
        <w:rPr>
          <w:color w:val="000000"/>
        </w:rPr>
        <w:t>:</w:t>
      </w:r>
      <w:r>
        <w:rPr>
          <w:color w:val="000000"/>
        </w:rPr>
        <w:t xml:space="preserve"> a liquid soil-improver extract and a solid residual biomass stream, with longer-term potential (not part of the current commercial case) to also recover agar/hydrocolloid and pigment fractions.</w:t>
      </w:r>
    </w:p>
    <w:p w14:paraId="0917D3A1" w14:textId="3C69981A" w:rsidR="00EE7390" w:rsidRDefault="005B6EA1">
      <w:pPr>
        <w:spacing w:before="120" w:after="40"/>
        <w:jc w:val="center"/>
      </w:pPr>
      <w:r w:rsidRPr="005B6EA1">
        <w:rPr>
          <w:noProof/>
        </w:rPr>
        <w:drawing>
          <wp:inline distT="0" distB="0" distL="0" distR="0" wp14:anchorId="39FCF616" wp14:editId="56329295">
            <wp:extent cx="6163310" cy="2769705"/>
            <wp:effectExtent l="0" t="0" r="0" b="0"/>
            <wp:docPr id="8" name="Picture 7">
              <a:extLst xmlns:a="http://schemas.openxmlformats.org/drawingml/2006/main">
                <a:ext uri="{FF2B5EF4-FFF2-40B4-BE49-F238E27FC236}">
                  <a16:creationId xmlns:a16="http://schemas.microsoft.com/office/drawing/2014/main" id="{A13FB71E-F03C-8067-E580-4006BED08B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13FB71E-F03C-8067-E580-4006BED08BC2}"/>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5470" t="-1" r="7506" b="30494"/>
                    <a:stretch>
                      <a:fillRect/>
                    </a:stretch>
                  </pic:blipFill>
                  <pic:spPr bwMode="auto">
                    <a:xfrm>
                      <a:off x="0" y="0"/>
                      <a:ext cx="6163310" cy="2769705"/>
                    </a:xfrm>
                    <a:prstGeom prst="rect">
                      <a:avLst/>
                    </a:prstGeom>
                    <a:ln>
                      <a:noFill/>
                    </a:ln>
                    <a:extLst>
                      <a:ext uri="{53640926-AAD7-44D8-BBD7-CCE9431645EC}">
                        <a14:shadowObscured xmlns:a14="http://schemas.microsoft.com/office/drawing/2010/main"/>
                      </a:ext>
                    </a:extLst>
                  </pic:spPr>
                </pic:pic>
              </a:graphicData>
            </a:graphic>
          </wp:inline>
        </w:drawing>
      </w:r>
    </w:p>
    <w:p w14:paraId="721E77F7" w14:textId="77777777" w:rsidR="00EE7390" w:rsidRDefault="0056086B">
      <w:pPr>
        <w:spacing w:before="60" w:after="240"/>
        <w:jc w:val="center"/>
      </w:pPr>
      <w:r>
        <w:rPr>
          <w:i/>
          <w:iCs/>
          <w:color w:val="595959"/>
          <w:sz w:val="18"/>
          <w:szCs w:val="18"/>
        </w:rPr>
        <w:t>Early-stage concept render of NASC's containerised processing unit (solar-powered configuration shown). Design, sizing and cost estimates are in progress and not yet finalised — see Section 13.3.</w:t>
      </w:r>
    </w:p>
    <w:p w14:paraId="15ED2C94" w14:textId="02F04A5E" w:rsidR="00EE7390" w:rsidRDefault="0056086B">
      <w:pPr>
        <w:spacing w:after="160"/>
        <w:jc w:val="both"/>
      </w:pPr>
      <w:r>
        <w:rPr>
          <w:color w:val="000000"/>
        </w:rPr>
        <w:lastRenderedPageBreak/>
        <w:t>For this raise and the current pitch to investors, the Company has deliberately narrowed its near-term commercial focus to a single product — the soil-improver stream for mine site rehabilitation — and has explicitly excluded pigments, agar and cosmetics from its financial model, positioning them instead as multi-year optionality. This is a sensible discipline for a pre-seed company.</w:t>
      </w:r>
    </w:p>
    <w:p w14:paraId="46D3E82E" w14:textId="6D32F5D3" w:rsidR="00EE7390" w:rsidRDefault="0056086B">
      <w:pPr>
        <w:spacing w:after="160"/>
        <w:jc w:val="both"/>
      </w:pPr>
      <w:r>
        <w:rPr>
          <w:color w:val="000000"/>
        </w:rPr>
        <w:t xml:space="preserve">Container unit economics </w:t>
      </w:r>
      <w:r w:rsidR="00B07972">
        <w:rPr>
          <w:color w:val="000000"/>
        </w:rPr>
        <w:t>such as</w:t>
      </w:r>
      <w:r>
        <w:rPr>
          <w:color w:val="000000"/>
        </w:rPr>
        <w:t xml:space="preserve"> fabrication approach (an offshore-fabricated, containerised unit is the Company's stated preference, with fabrication and control-system programming estimated by its engineering advisor at c. 75% of unit cost), throughput, and capital/operating cost</w:t>
      </w:r>
      <w:r w:rsidR="00B07972">
        <w:rPr>
          <w:color w:val="000000"/>
        </w:rPr>
        <w:t>,</w:t>
      </w:r>
      <w:r>
        <w:rPr>
          <w:color w:val="000000"/>
        </w:rPr>
        <w:t xml:space="preserve"> </w:t>
      </w:r>
      <w:r w:rsidR="00685CD1">
        <w:rPr>
          <w:color w:val="000000"/>
        </w:rPr>
        <w:t>have been</w:t>
      </w:r>
      <w:r>
        <w:rPr>
          <w:color w:val="000000"/>
        </w:rPr>
        <w:t xml:space="preserve"> developed by an independent technical advisor (Lewi Software Group) to AACE Class 5 accuracy (i.e. ±50%, appropriate for this stage but not yet bankable).</w:t>
      </w:r>
    </w:p>
    <w:p w14:paraId="4A7F1250" w14:textId="2CDE5AD4" w:rsidR="00EE7390" w:rsidRDefault="0056086B">
      <w:pPr>
        <w:spacing w:after="160"/>
        <w:jc w:val="both"/>
      </w:pPr>
      <w:r>
        <w:rPr>
          <w:color w:val="000000"/>
        </w:rPr>
        <w:t xml:space="preserve">Reported early technical results are encouraging but preliminary: the Company reports internal pot-trial results showing a positive relationship between its soil-improver product and germination/plant growth outcomes, and successful chemical-additive-free extraction of agar from raw </w:t>
      </w:r>
      <w:r w:rsidR="005C65A6">
        <w:rPr>
          <w:color w:val="000000"/>
        </w:rPr>
        <w:t>Gracilleria</w:t>
      </w:r>
      <w:r>
        <w:rPr>
          <w:color w:val="000000"/>
        </w:rPr>
        <w:t xml:space="preserve"> (relevant to the longer-term, unmodelled product streams rather than the current soil-rehabilitation case). Its current pitch materials also cite an indicative 25–60% rehabilitation cost reduction and c. 20% uplift in land vegetation outcomes relative to conventional approaches; per the Company's own advisors, these are modelled/illustrative figures rather than measured field results at this point, and should be treated as directional pending the trial programs.</w:t>
      </w:r>
    </w:p>
    <w:p w14:paraId="07EE6C98" w14:textId="77777777" w:rsidR="00EE7390" w:rsidRDefault="0056086B">
      <w:pPr>
        <w:pStyle w:val="Heading1"/>
        <w:pBdr>
          <w:bottom w:val="single" w:sz="8" w:space="4" w:color="1F3864"/>
        </w:pBdr>
        <w:spacing w:before="400" w:after="160"/>
      </w:pPr>
      <w:r>
        <w:rPr>
          <w:b/>
          <w:bCs/>
          <w:color w:val="1F3864"/>
          <w:sz w:val="27"/>
          <w:szCs w:val="27"/>
        </w:rPr>
        <w:t>7. Market Opportunity</w:t>
      </w:r>
    </w:p>
    <w:p w14:paraId="60C8BB6A" w14:textId="77777777" w:rsidR="00EE7390" w:rsidRDefault="0056086B">
      <w:pPr>
        <w:spacing w:after="160"/>
        <w:jc w:val="both"/>
      </w:pPr>
      <w:r>
        <w:rPr>
          <w:color w:val="000000"/>
        </w:rPr>
        <w:t>The Company sizes its opportunity across two adjacent segments — mining rehabilitation and agriculture — with mining as the clear near-term priority: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2116"/>
        <w:gridCol w:w="2117"/>
        <w:gridCol w:w="2117"/>
      </w:tblGrid>
      <w:tr w:rsidR="00EE7390" w14:paraId="0D8126C6" w14:textId="77777777">
        <w:trPr>
          <w:tblHeader/>
        </w:trPr>
        <w:tc>
          <w:tcPr>
            <w:tcW w:w="3000" w:type="dxa"/>
            <w:shd w:val="clear" w:color="auto" w:fill="1F3864"/>
            <w:tcMar>
              <w:top w:w="80" w:type="dxa"/>
              <w:left w:w="110" w:type="dxa"/>
              <w:bottom w:w="80" w:type="dxa"/>
              <w:right w:w="110" w:type="dxa"/>
            </w:tcMar>
            <w:vAlign w:val="center"/>
          </w:tcPr>
          <w:p w14:paraId="0FCAB431" w14:textId="77777777" w:rsidR="00EE7390" w:rsidRDefault="0056086B">
            <w:r>
              <w:rPr>
                <w:b/>
                <w:bCs/>
                <w:color w:val="FFFFFF"/>
                <w:sz w:val="20"/>
                <w:szCs w:val="20"/>
              </w:rPr>
              <w:t>Segment</w:t>
            </w:r>
          </w:p>
        </w:tc>
        <w:tc>
          <w:tcPr>
            <w:tcW w:w="2116" w:type="dxa"/>
            <w:shd w:val="clear" w:color="auto" w:fill="1F3864"/>
            <w:tcMar>
              <w:top w:w="80" w:type="dxa"/>
              <w:left w:w="110" w:type="dxa"/>
              <w:bottom w:w="80" w:type="dxa"/>
              <w:right w:w="110" w:type="dxa"/>
            </w:tcMar>
            <w:vAlign w:val="center"/>
          </w:tcPr>
          <w:p w14:paraId="6E6F77BE" w14:textId="77777777" w:rsidR="00EE7390" w:rsidRDefault="0056086B">
            <w:r>
              <w:rPr>
                <w:b/>
                <w:bCs/>
                <w:color w:val="FFFFFF"/>
                <w:sz w:val="20"/>
                <w:szCs w:val="20"/>
              </w:rPr>
              <w:t>TAM</w:t>
            </w:r>
          </w:p>
        </w:tc>
        <w:tc>
          <w:tcPr>
            <w:tcW w:w="2117" w:type="dxa"/>
            <w:shd w:val="clear" w:color="auto" w:fill="1F3864"/>
            <w:tcMar>
              <w:top w:w="80" w:type="dxa"/>
              <w:left w:w="110" w:type="dxa"/>
              <w:bottom w:w="80" w:type="dxa"/>
              <w:right w:w="110" w:type="dxa"/>
            </w:tcMar>
            <w:vAlign w:val="center"/>
          </w:tcPr>
          <w:p w14:paraId="455199DA" w14:textId="77777777" w:rsidR="00EE7390" w:rsidRDefault="0056086B">
            <w:r>
              <w:rPr>
                <w:b/>
                <w:bCs/>
                <w:color w:val="FFFFFF"/>
                <w:sz w:val="20"/>
                <w:szCs w:val="20"/>
              </w:rPr>
              <w:t>SAM (NT &amp; northern WA)</w:t>
            </w:r>
          </w:p>
        </w:tc>
        <w:tc>
          <w:tcPr>
            <w:tcW w:w="2117" w:type="dxa"/>
            <w:shd w:val="clear" w:color="auto" w:fill="1F3864"/>
            <w:tcMar>
              <w:top w:w="80" w:type="dxa"/>
              <w:left w:w="110" w:type="dxa"/>
              <w:bottom w:w="80" w:type="dxa"/>
              <w:right w:w="110" w:type="dxa"/>
            </w:tcMar>
            <w:vAlign w:val="center"/>
          </w:tcPr>
          <w:p w14:paraId="66881456" w14:textId="77777777" w:rsidR="00EE7390" w:rsidRDefault="0056086B">
            <w:r>
              <w:rPr>
                <w:b/>
                <w:bCs/>
                <w:color w:val="FFFFFF"/>
                <w:sz w:val="20"/>
                <w:szCs w:val="20"/>
              </w:rPr>
              <w:t>SOM</w:t>
            </w:r>
          </w:p>
        </w:tc>
      </w:tr>
      <w:tr w:rsidR="00EE7390" w14:paraId="6CC8D762" w14:textId="77777777">
        <w:tc>
          <w:tcPr>
            <w:tcW w:w="3000" w:type="dxa"/>
            <w:tcMar>
              <w:top w:w="80" w:type="dxa"/>
              <w:left w:w="110" w:type="dxa"/>
              <w:bottom w:w="80" w:type="dxa"/>
              <w:right w:w="110" w:type="dxa"/>
            </w:tcMar>
            <w:vAlign w:val="center"/>
          </w:tcPr>
          <w:p w14:paraId="2EB93340" w14:textId="77777777" w:rsidR="00EE7390" w:rsidRDefault="0056086B">
            <w:r>
              <w:rPr>
                <w:color w:val="000000"/>
                <w:sz w:val="20"/>
                <w:szCs w:val="20"/>
              </w:rPr>
              <w:t>Mining rehabilitation</w:t>
            </w:r>
          </w:p>
        </w:tc>
        <w:tc>
          <w:tcPr>
            <w:tcW w:w="2116" w:type="dxa"/>
            <w:tcMar>
              <w:top w:w="80" w:type="dxa"/>
              <w:left w:w="110" w:type="dxa"/>
              <w:bottom w:w="80" w:type="dxa"/>
              <w:right w:w="110" w:type="dxa"/>
            </w:tcMar>
            <w:vAlign w:val="center"/>
          </w:tcPr>
          <w:p w14:paraId="11EFF65E" w14:textId="77777777" w:rsidR="00EE7390" w:rsidRDefault="0056086B">
            <w:r>
              <w:rPr>
                <w:color w:val="000000"/>
                <w:sz w:val="20"/>
                <w:szCs w:val="20"/>
              </w:rPr>
              <w:t>$27.2 billion</w:t>
            </w:r>
          </w:p>
        </w:tc>
        <w:tc>
          <w:tcPr>
            <w:tcW w:w="2117" w:type="dxa"/>
            <w:tcMar>
              <w:top w:w="80" w:type="dxa"/>
              <w:left w:w="110" w:type="dxa"/>
              <w:bottom w:w="80" w:type="dxa"/>
              <w:right w:w="110" w:type="dxa"/>
            </w:tcMar>
            <w:vAlign w:val="center"/>
          </w:tcPr>
          <w:p w14:paraId="3DCB3F01" w14:textId="77777777" w:rsidR="00EE7390" w:rsidRDefault="0056086B">
            <w:r>
              <w:rPr>
                <w:color w:val="000000"/>
                <w:sz w:val="20"/>
                <w:szCs w:val="20"/>
              </w:rPr>
              <w:t>$6.55 billion</w:t>
            </w:r>
          </w:p>
        </w:tc>
        <w:tc>
          <w:tcPr>
            <w:tcW w:w="2117" w:type="dxa"/>
            <w:tcMar>
              <w:top w:w="80" w:type="dxa"/>
              <w:left w:w="110" w:type="dxa"/>
              <w:bottom w:w="80" w:type="dxa"/>
              <w:right w:w="110" w:type="dxa"/>
            </w:tcMar>
            <w:vAlign w:val="center"/>
          </w:tcPr>
          <w:p w14:paraId="393CCE73" w14:textId="77777777" w:rsidR="00EE7390" w:rsidRDefault="0056086B">
            <w:r>
              <w:rPr>
                <w:color w:val="000000"/>
                <w:sz w:val="20"/>
                <w:szCs w:val="20"/>
              </w:rPr>
              <w:t>$127 million (three mines closing/closed by 2030 near coastal communities)</w:t>
            </w:r>
          </w:p>
        </w:tc>
      </w:tr>
      <w:tr w:rsidR="00EE7390" w14:paraId="7635F76D" w14:textId="77777777">
        <w:tc>
          <w:tcPr>
            <w:tcW w:w="3000" w:type="dxa"/>
            <w:shd w:val="clear" w:color="auto" w:fill="F2F2F2"/>
            <w:tcMar>
              <w:top w:w="80" w:type="dxa"/>
              <w:left w:w="110" w:type="dxa"/>
              <w:bottom w:w="80" w:type="dxa"/>
              <w:right w:w="110" w:type="dxa"/>
            </w:tcMar>
            <w:vAlign w:val="center"/>
          </w:tcPr>
          <w:p w14:paraId="6FFBC0FC" w14:textId="77777777" w:rsidR="00EE7390" w:rsidRDefault="0056086B">
            <w:r>
              <w:rPr>
                <w:color w:val="000000"/>
                <w:sz w:val="20"/>
                <w:szCs w:val="20"/>
              </w:rPr>
              <w:t>Agriculture (soil inputs)</w:t>
            </w:r>
          </w:p>
        </w:tc>
        <w:tc>
          <w:tcPr>
            <w:tcW w:w="2116" w:type="dxa"/>
            <w:shd w:val="clear" w:color="auto" w:fill="F2F2F2"/>
            <w:tcMar>
              <w:top w:w="80" w:type="dxa"/>
              <w:left w:w="110" w:type="dxa"/>
              <w:bottom w:w="80" w:type="dxa"/>
              <w:right w:w="110" w:type="dxa"/>
            </w:tcMar>
            <w:vAlign w:val="center"/>
          </w:tcPr>
          <w:p w14:paraId="28278374" w14:textId="77777777" w:rsidR="00EE7390" w:rsidRDefault="0056086B">
            <w:r>
              <w:rPr>
                <w:color w:val="000000"/>
                <w:sz w:val="20"/>
                <w:szCs w:val="20"/>
              </w:rPr>
              <w:t>$32.5 billion</w:t>
            </w:r>
          </w:p>
        </w:tc>
        <w:tc>
          <w:tcPr>
            <w:tcW w:w="2117" w:type="dxa"/>
            <w:shd w:val="clear" w:color="auto" w:fill="F2F2F2"/>
            <w:tcMar>
              <w:top w:w="80" w:type="dxa"/>
              <w:left w:w="110" w:type="dxa"/>
              <w:bottom w:w="80" w:type="dxa"/>
              <w:right w:w="110" w:type="dxa"/>
            </w:tcMar>
            <w:vAlign w:val="center"/>
          </w:tcPr>
          <w:p w14:paraId="0EEAAF04" w14:textId="77777777" w:rsidR="00EE7390" w:rsidRDefault="0056086B">
            <w:r>
              <w:rPr>
                <w:color w:val="000000"/>
                <w:sz w:val="20"/>
                <w:szCs w:val="20"/>
              </w:rPr>
              <w:t>$0.27 billion</w:t>
            </w:r>
          </w:p>
        </w:tc>
        <w:tc>
          <w:tcPr>
            <w:tcW w:w="2117" w:type="dxa"/>
            <w:shd w:val="clear" w:color="auto" w:fill="F2F2F2"/>
            <w:tcMar>
              <w:top w:w="80" w:type="dxa"/>
              <w:left w:w="110" w:type="dxa"/>
              <w:bottom w:w="80" w:type="dxa"/>
              <w:right w:w="110" w:type="dxa"/>
            </w:tcMar>
            <w:vAlign w:val="center"/>
          </w:tcPr>
          <w:p w14:paraId="5C48F6EE" w14:textId="77777777" w:rsidR="00EE7390" w:rsidRDefault="0056086B">
            <w:r>
              <w:rPr>
                <w:color w:val="000000"/>
                <w:sz w:val="20"/>
                <w:szCs w:val="20"/>
              </w:rPr>
              <w:t>$5 million (NT mango industry inactive-land basis)</w:t>
            </w:r>
          </w:p>
        </w:tc>
      </w:tr>
      <w:tr w:rsidR="00EE7390" w14:paraId="7D6AB5E7" w14:textId="77777777">
        <w:tc>
          <w:tcPr>
            <w:tcW w:w="3000" w:type="dxa"/>
            <w:tcMar>
              <w:top w:w="80" w:type="dxa"/>
              <w:left w:w="110" w:type="dxa"/>
              <w:bottom w:w="80" w:type="dxa"/>
              <w:right w:w="110" w:type="dxa"/>
            </w:tcMar>
            <w:vAlign w:val="center"/>
          </w:tcPr>
          <w:p w14:paraId="0F62112E" w14:textId="77777777" w:rsidR="00EE7390" w:rsidRDefault="0056086B">
            <w:r>
              <w:rPr>
                <w:color w:val="000000"/>
                <w:sz w:val="20"/>
                <w:szCs w:val="20"/>
              </w:rPr>
              <w:t>Combined</w:t>
            </w:r>
          </w:p>
        </w:tc>
        <w:tc>
          <w:tcPr>
            <w:tcW w:w="2116" w:type="dxa"/>
            <w:tcMar>
              <w:top w:w="80" w:type="dxa"/>
              <w:left w:w="110" w:type="dxa"/>
              <w:bottom w:w="80" w:type="dxa"/>
              <w:right w:w="110" w:type="dxa"/>
            </w:tcMar>
            <w:vAlign w:val="center"/>
          </w:tcPr>
          <w:p w14:paraId="4039B980" w14:textId="77777777" w:rsidR="00EE7390" w:rsidRDefault="0056086B">
            <w:r>
              <w:rPr>
                <w:color w:val="000000"/>
                <w:sz w:val="20"/>
                <w:szCs w:val="20"/>
              </w:rPr>
              <w:t>$59.7 billion</w:t>
            </w:r>
          </w:p>
        </w:tc>
        <w:tc>
          <w:tcPr>
            <w:tcW w:w="2117" w:type="dxa"/>
            <w:tcMar>
              <w:top w:w="80" w:type="dxa"/>
              <w:left w:w="110" w:type="dxa"/>
              <w:bottom w:w="80" w:type="dxa"/>
              <w:right w:w="110" w:type="dxa"/>
            </w:tcMar>
            <w:vAlign w:val="center"/>
          </w:tcPr>
          <w:p w14:paraId="018E284A" w14:textId="77777777" w:rsidR="00EE7390" w:rsidRDefault="0056086B">
            <w:r>
              <w:rPr>
                <w:color w:val="000000"/>
                <w:sz w:val="20"/>
                <w:szCs w:val="20"/>
              </w:rPr>
              <w:t>$6.82 billion</w:t>
            </w:r>
          </w:p>
        </w:tc>
        <w:tc>
          <w:tcPr>
            <w:tcW w:w="2117" w:type="dxa"/>
            <w:tcMar>
              <w:top w:w="80" w:type="dxa"/>
              <w:left w:w="110" w:type="dxa"/>
              <w:bottom w:w="80" w:type="dxa"/>
              <w:right w:w="110" w:type="dxa"/>
            </w:tcMar>
            <w:vAlign w:val="center"/>
          </w:tcPr>
          <w:p w14:paraId="45AC489E" w14:textId="77777777" w:rsidR="00EE7390" w:rsidRDefault="0056086B">
            <w:r>
              <w:rPr>
                <w:color w:val="000000"/>
                <w:sz w:val="20"/>
                <w:szCs w:val="20"/>
              </w:rPr>
              <w:t>$132 million</w:t>
            </w:r>
          </w:p>
        </w:tc>
      </w:tr>
    </w:tbl>
    <w:p w14:paraId="01D168CA" w14:textId="77777777" w:rsidR="00EE7390" w:rsidRDefault="00EE7390">
      <w:pPr>
        <w:spacing w:after="80"/>
      </w:pPr>
    </w:p>
    <w:p w14:paraId="59ADC940" w14:textId="77777777" w:rsidR="00EE7390" w:rsidRDefault="0056086B">
      <w:pPr>
        <w:spacing w:after="160"/>
        <w:jc w:val="both"/>
      </w:pPr>
      <w:r>
        <w:rPr>
          <w:color w:val="000000"/>
        </w:rPr>
        <w:t xml:space="preserve">The Company's market narrative also cites a CSIRO estimate that Australian mine closures will cost $4–8 billion, of which it assumes c. 15% will be allocated specifically to soil rehabilitation. Two caveats are important for the Committee: first, the $4–8 billion figure as presented in the Company's materials describes a 20-year total, and there is a reasonable prospect this actually reflects an annual CSIRO estimate rather than a cumulative one — if so, the addressable opportunity implied by the Company's </w:t>
      </w:r>
      <w:r>
        <w:rPr>
          <w:color w:val="000000"/>
        </w:rPr>
        <w:t>own materials would be substantially understated, not overstated, but the figure should be checked against the primary CSIRO source before being relied upon either way. Second, the 15% soil-rehabilitation allocation is the Company's own assumption, not a CSIRO-sourced figure, and has not been independently corroborated.</w:t>
      </w:r>
    </w:p>
    <w:p w14:paraId="7B0E7B1C" w14:textId="2EE995D8" w:rsidR="00EE7390" w:rsidRDefault="0056086B">
      <w:pPr>
        <w:spacing w:after="160"/>
        <w:jc w:val="both"/>
      </w:pPr>
      <w:r>
        <w:rPr>
          <w:color w:val="000000"/>
        </w:rPr>
        <w:t>As a single-site illustration, the Company cites Rio Tinto's Gove (Nhulunbuy, NT) alumina refinery closure, expected around 2030, with a rehabilitation budget it describes as exceeding $900 million over 12 years across c. 1,600 hectares. Separately, and more directly verifiable, Company correspondence with a BHP contact (August 2026) indicates BHP spent approximately $130 million on rehabilitation in FY26 across c. 1,300 hectares (implying a portfolio-average cost in the order of $100,000 per hectare), with</w:t>
      </w:r>
      <w:r>
        <w:rPr>
          <w:color w:val="000000"/>
        </w:rPr>
        <w:t xml:space="preserve"> a similar budget flagged for FY27. This BHP figure is a useful, independently-sourced benchmark, though it is informal correspondence and reflects BHP's broader portfolio rather than a specific Northern Territory site.</w:t>
      </w:r>
    </w:p>
    <w:p w14:paraId="7595D05D" w14:textId="77777777" w:rsidR="00EE7390" w:rsidRDefault="0056086B">
      <w:pPr>
        <w:spacing w:after="160"/>
        <w:jc w:val="both"/>
      </w:pPr>
      <w:r>
        <w:rPr>
          <w:color w:val="000000"/>
        </w:rPr>
        <w:t>The global seaweed market is separately estimated at c. US$7.5 billion (2024), with the red seaweed segment (which includes the Company's target species) expected to grow — this is relevant context for the longer-term, currently unmodelled agar and pigment optionality rather than the near-term investment case.</w:t>
      </w:r>
    </w:p>
    <w:p w14:paraId="1FD63012" w14:textId="77777777" w:rsidR="00B07972" w:rsidRDefault="00B07972">
      <w:pPr>
        <w:rPr>
          <w:b/>
          <w:bCs/>
          <w:color w:val="1F3864"/>
          <w:sz w:val="27"/>
          <w:szCs w:val="27"/>
        </w:rPr>
      </w:pPr>
      <w:r>
        <w:rPr>
          <w:b/>
          <w:bCs/>
          <w:color w:val="1F3864"/>
          <w:sz w:val="27"/>
          <w:szCs w:val="27"/>
        </w:rPr>
        <w:br w:type="page"/>
      </w:r>
    </w:p>
    <w:p w14:paraId="0F676EE8" w14:textId="52263BEF" w:rsidR="00EE7390" w:rsidRDefault="0056086B">
      <w:pPr>
        <w:pStyle w:val="Heading1"/>
        <w:pBdr>
          <w:bottom w:val="single" w:sz="8" w:space="4" w:color="1F3864"/>
        </w:pBdr>
        <w:spacing w:before="400" w:after="160"/>
      </w:pPr>
      <w:r>
        <w:rPr>
          <w:b/>
          <w:bCs/>
          <w:color w:val="1F3864"/>
          <w:sz w:val="27"/>
          <w:szCs w:val="27"/>
        </w:rPr>
        <w:lastRenderedPageBreak/>
        <w:t>8. Competitive Landscape</w:t>
      </w:r>
    </w:p>
    <w:p w14:paraId="1594619C" w14:textId="2F0E70D8" w:rsidR="002E3E99" w:rsidRDefault="0056086B">
      <w:pPr>
        <w:spacing w:after="160"/>
        <w:jc w:val="both"/>
        <w:rPr>
          <w:color w:val="000000"/>
        </w:rPr>
      </w:pPr>
      <w:r>
        <w:rPr>
          <w:color w:val="000000"/>
        </w:rPr>
        <w:t xml:space="preserve">“Competitor” is not a single, well-defined market for NASC: the Company's activity spans four distinct product/value-chain streams </w:t>
      </w:r>
      <w:r w:rsidR="002E3E99">
        <w:rPr>
          <w:color w:val="000000"/>
        </w:rPr>
        <w:t>, each with a different competitor set, a different evidentiary basis, and a different competitive position for NASC:</w:t>
      </w:r>
    </w:p>
    <w:p w14:paraId="31BE0863" w14:textId="77777777" w:rsidR="002E3E99" w:rsidRDefault="0056086B">
      <w:pPr>
        <w:spacing w:after="160"/>
        <w:jc w:val="both"/>
        <w:rPr>
          <w:color w:val="000000"/>
        </w:rPr>
      </w:pPr>
      <w:r>
        <w:rPr>
          <w:color w:val="000000"/>
        </w:rPr>
        <w:t xml:space="preserve">(1) mine site rehabilitation, </w:t>
      </w:r>
    </w:p>
    <w:p w14:paraId="6084A033" w14:textId="77777777" w:rsidR="002E3E99" w:rsidRDefault="0056086B">
      <w:pPr>
        <w:spacing w:after="160"/>
        <w:jc w:val="both"/>
        <w:rPr>
          <w:color w:val="000000"/>
        </w:rPr>
      </w:pPr>
      <w:r>
        <w:rPr>
          <w:color w:val="000000"/>
        </w:rPr>
        <w:t xml:space="preserve">(2) agricultural soil products, </w:t>
      </w:r>
    </w:p>
    <w:p w14:paraId="0F85022F" w14:textId="77777777" w:rsidR="002E3E99" w:rsidRDefault="0056086B">
      <w:pPr>
        <w:spacing w:after="160"/>
        <w:jc w:val="both"/>
        <w:rPr>
          <w:color w:val="000000"/>
        </w:rPr>
      </w:pPr>
      <w:r>
        <w:rPr>
          <w:color w:val="000000"/>
        </w:rPr>
        <w:t xml:space="preserve">(3) agar and hydrocolloid products, and </w:t>
      </w:r>
    </w:p>
    <w:p w14:paraId="4141F5AF" w14:textId="006F411D" w:rsidR="002E3E99" w:rsidRDefault="0056086B">
      <w:pPr>
        <w:spacing w:after="160"/>
        <w:jc w:val="both"/>
        <w:rPr>
          <w:color w:val="000000"/>
        </w:rPr>
      </w:pPr>
      <w:r>
        <w:rPr>
          <w:color w:val="000000"/>
        </w:rPr>
        <w:t xml:space="preserve">(4) seaweed processing/extraction technology </w:t>
      </w:r>
    </w:p>
    <w:p w14:paraId="0E167C26" w14:textId="7CB184D6" w:rsidR="00EE7390" w:rsidRDefault="0056086B">
      <w:pPr>
        <w:spacing w:after="160"/>
        <w:jc w:val="both"/>
      </w:pPr>
      <w:r>
        <w:rPr>
          <w:color w:val="000000"/>
        </w:rPr>
        <w:t>NASC is the only participant identified as operating across all four streams simultaneously; every other competitor identified is confined to a single stream. We agree this is a materially more useful lens for underwriting than a single blended “competitive advantage” claim, since it implies the Committee should weight the four prospective revenue streams differently rather than assume uniform competitive strength across all of them, and we have adopted the four-stream structure below.</w:t>
      </w:r>
    </w:p>
    <w:p w14:paraId="0FA56452" w14:textId="77777777" w:rsidR="00EE7390" w:rsidRDefault="0056086B">
      <w:pPr>
        <w:pStyle w:val="Heading2"/>
        <w:spacing w:before="260" w:after="120"/>
      </w:pPr>
      <w:r>
        <w:rPr>
          <w:b/>
          <w:bCs/>
          <w:color w:val="44546A"/>
          <w:sz w:val="23"/>
          <w:szCs w:val="23"/>
        </w:rPr>
        <w:t>8.1 Stream 1: Mine site rehabilitation</w:t>
      </w:r>
    </w:p>
    <w:p w14:paraId="57065F33" w14:textId="77777777" w:rsidR="00EE7390" w:rsidRDefault="0056086B">
      <w:pPr>
        <w:spacing w:after="160"/>
        <w:jc w:val="both"/>
      </w:pPr>
      <w:r>
        <w:rPr>
          <w:color w:val="000000"/>
        </w:rPr>
        <w:t xml:space="preserve">This is the stream the Company's current raise and financial model are built around. It is not believed NASC faces a direct commercial competitor today in this space. Current industry practice centres on reusing existing degraded topsoil or trucking in topsoil from elsewhere (sometimes blended with waste rock); past attempts to use synthetic fertiliser in this context have had negative results; and various seed-application innovations exist (drone-delivered seed pods; a Western Australian trial method that </w:t>
      </w:r>
      <w:r>
        <w:rPr>
          <w:color w:val="000000"/>
        </w:rPr>
        <w:t>surface-lays rather than embeds seed); to date, however, little industry effort has focused on improving what is actually added to the soil beyond the seed itself.</w:t>
      </w:r>
    </w:p>
    <w:p w14:paraId="2A7F1752" w14:textId="77777777" w:rsidR="00EE7390" w:rsidRDefault="0056086B">
      <w:pPr>
        <w:spacing w:after="160"/>
        <w:jc w:val="both"/>
      </w:pPr>
      <w:r>
        <w:rPr>
          <w:color w:val="000000"/>
        </w:rPr>
        <w:t>The closest adjacent alternative is biochar. Biochar is a good absorbent and can help physical soil structure through added biological carbon, but does not supply organic material the way NASC's product does, and does not supply nutrients unless separately engineered to do so — an area of research (impregnating biochar with NPK or specific microbes) considered early-stage and unproven. Consistency of material quality and cost (biochar production via pyrolysis is expensive at the volumes and price points min</w:t>
      </w:r>
      <w:r>
        <w:rPr>
          <w:color w:val="000000"/>
        </w:rPr>
        <w:t>e rehabilitation would require) are biochar's key practical constraints, and because of this, biochar is not considered a competitive or technically viable standalone alternative to NASC's product.</w:t>
      </w:r>
    </w:p>
    <w:p w14:paraId="68AE7EED" w14:textId="3F5D3F1D" w:rsidR="00EE7390" w:rsidRDefault="00666306">
      <w:pPr>
        <w:spacing w:after="160"/>
        <w:jc w:val="both"/>
      </w:pPr>
      <w:r>
        <w:rPr>
          <w:color w:val="000000"/>
        </w:rPr>
        <w:t xml:space="preserve">Consideration also needs to made in relation to the application method of </w:t>
      </w:r>
      <w:r w:rsidR="00A67906">
        <w:rPr>
          <w:color w:val="000000"/>
        </w:rPr>
        <w:t xml:space="preserve">NASC’s specialist soil additive. For example, another company known as </w:t>
      </w:r>
      <w:r>
        <w:rPr>
          <w:color w:val="000000"/>
        </w:rPr>
        <w:t>Quenda works on mine-rehabilitation techniques involving manually created small-scale “soil biomes,” and could be viewed as a competitor in the narrowest sense. Quenda, and other seed-application and machinery partners involved in NASC's own BHP/UWA trials, are better viewed as complementary rather than competing: these groups control how material is physically applied to the site, and NASC's product is positioned as an additive that improves the outcome of those existing application methods rather than replacing them. As commercial context, mine rehabilitation spend runs into the hundreds of millions of dollars annually per site, against which the Company's model deliberately assumes a conservative $4–5 million in revenue and roughly $2 million in profit per site — a small fraction of total site spend, reflecting an assumption that mechanical-application and partner arrangements (rather than NASC alone) will be needed to capture the full addressable opportunity.</w:t>
      </w:r>
    </w:p>
    <w:p w14:paraId="094837A5" w14:textId="77777777" w:rsidR="00EE7390" w:rsidRDefault="0056086B">
      <w:pPr>
        <w:pStyle w:val="Heading2"/>
        <w:spacing w:before="260" w:after="120"/>
      </w:pPr>
      <w:r>
        <w:rPr>
          <w:b/>
          <w:bCs/>
          <w:color w:val="44546A"/>
          <w:sz w:val="23"/>
          <w:szCs w:val="23"/>
        </w:rPr>
        <w:t>8.2 Stream 2: Agricultural soil products</w:t>
      </w:r>
    </w:p>
    <w:p w14:paraId="328B7DD9" w14:textId="4B24181B" w:rsidR="00EE7390" w:rsidRDefault="0056086B">
      <w:pPr>
        <w:spacing w:after="160"/>
        <w:jc w:val="both"/>
      </w:pPr>
      <w:r>
        <w:rPr>
          <w:color w:val="000000"/>
        </w:rPr>
        <w:t>This stream is split into two sub-markets with different competitors. In the retail sub-market, the main competitor is Seasol</w:t>
      </w:r>
      <w:r w:rsidR="00B07972">
        <w:rPr>
          <w:color w:val="000000"/>
        </w:rPr>
        <w:t>,</w:t>
      </w:r>
      <w:r>
        <w:rPr>
          <w:color w:val="000000"/>
        </w:rPr>
        <w:t xml:space="preserve"> a liquid-based extract made from a different seaweed species, grown predominantly in southern Australia and sold through retail/home-garden channels. Seasol does not target the same broadacre or mining markets as NASC. Anecdotally, and not from a published source, Seasol</w:t>
      </w:r>
      <w:r>
        <w:rPr>
          <w:color w:val="000000"/>
        </w:rPr>
        <w:t xml:space="preserve"> has experienced biomass supply constraints affecting its ability to meet demand.</w:t>
      </w:r>
    </w:p>
    <w:p w14:paraId="2C67BD8F" w14:textId="77777777" w:rsidR="00EE7390" w:rsidRDefault="0056086B">
      <w:pPr>
        <w:spacing w:after="160"/>
        <w:jc w:val="both"/>
      </w:pPr>
      <w:r>
        <w:rPr>
          <w:color w:val="000000"/>
        </w:rPr>
        <w:t xml:space="preserve">In the commercial broadacre/horticulture sub-market, the established alternative is synthetic fertiliser (urea and nitrogen/phosphorus/potassium (NPK) blends such as MAP/DAP). The central critique is that synthetic fertilisers address only the chemical properties of soil; a Western Australian contrast between the Wheatbelt (where long-term synthetic fertiliser use is reported to have degraded soil to the point of reduced wheat productivity) and </w:t>
      </w:r>
      <w:r>
        <w:rPr>
          <w:color w:val="000000"/>
        </w:rPr>
        <w:lastRenderedPageBreak/>
        <w:t>Esperance (where soils are less degraded and synthetic inputs still show a positive return) illustrates this long-run limitation. NASC's product is positioned as addressing the physical, chemical and biological properties of soil together, rather than the chemical property alone.</w:t>
      </w:r>
    </w:p>
    <w:p w14:paraId="22DFD49E" w14:textId="33F7CFD2" w:rsidR="00EE7390" w:rsidRDefault="0056086B">
      <w:pPr>
        <w:spacing w:after="160"/>
        <w:jc w:val="both"/>
      </w:pPr>
      <w:r>
        <w:rPr>
          <w:color w:val="000000"/>
        </w:rPr>
        <w:t>NASC has some disadvantages in this stream: synthetic fertilisers benefit from simple, well-understood dry-pellet application infrastructure that farmers already know how to use, whereas NASC's product is a wet, gel-based biomass that will likely require a more complex application method linked to direct seeding. Drying or pelletising the NASC product is not a viable design option, since this would destroy the hydrocolloid gel's natural water-retention properties</w:t>
      </w:r>
      <w:r w:rsidR="00B07972">
        <w:rPr>
          <w:color w:val="000000"/>
        </w:rPr>
        <w:t>,</w:t>
      </w:r>
      <w:r>
        <w:rPr>
          <w:color w:val="000000"/>
        </w:rPr>
        <w:t xml:space="preserve"> the specific mechanism the product relies on to benefit soil</w:t>
      </w:r>
      <w:r w:rsidR="00B07972">
        <w:rPr>
          <w:color w:val="000000"/>
        </w:rPr>
        <w:t>,</w:t>
      </w:r>
      <w:r>
        <w:rPr>
          <w:color w:val="000000"/>
        </w:rPr>
        <w:t xml:space="preserve"> even though a gel format is harder to apply at scale than a dry or liquid product.</w:t>
      </w:r>
    </w:p>
    <w:p w14:paraId="7FEC77AD" w14:textId="77777777" w:rsidR="00EE7390" w:rsidRDefault="0056086B">
      <w:pPr>
        <w:pStyle w:val="Heading2"/>
        <w:spacing w:before="260" w:after="120"/>
      </w:pPr>
      <w:r>
        <w:rPr>
          <w:b/>
          <w:bCs/>
          <w:color w:val="44546A"/>
          <w:sz w:val="23"/>
          <w:szCs w:val="23"/>
        </w:rPr>
        <w:t>8.3 Stream 3: Agar and hydrocolloid products</w:t>
      </w:r>
    </w:p>
    <w:p w14:paraId="2DB83696" w14:textId="53116603" w:rsidR="00EE7390" w:rsidRDefault="0056086B">
      <w:pPr>
        <w:spacing w:after="160"/>
        <w:jc w:val="both"/>
      </w:pPr>
      <w:r>
        <w:rPr>
          <w:color w:val="000000"/>
        </w:rPr>
        <w:t>This stream covers the established, downstream market into which NASC's target seaweed species (</w:t>
      </w:r>
      <w:r w:rsidR="00257E77">
        <w:rPr>
          <w:color w:val="000000"/>
        </w:rPr>
        <w:t>Gracilleria</w:t>
      </w:r>
      <w:r>
        <w:rPr>
          <w:color w:val="000000"/>
        </w:rPr>
        <w:t>) is conventionally sold</w:t>
      </w:r>
      <w:r w:rsidR="00B07972">
        <w:rPr>
          <w:color w:val="000000"/>
        </w:rPr>
        <w:t xml:space="preserve"> and</w:t>
      </w:r>
      <w:r>
        <w:rPr>
          <w:color w:val="000000"/>
        </w:rPr>
        <w:t xml:space="preserve"> processed into agar gels and hydrocolloids, predominantly for Southeast Asian and other export markets. This is a well-established but structurally strained market: reported material-quality problems linked to seaweed disease pressure (“ice-ice” has been referenced in this description, a bacterial stress disease common in tropical </w:t>
      </w:r>
      <w:r w:rsidR="007142F4">
        <w:rPr>
          <w:color w:val="000000"/>
        </w:rPr>
        <w:t>Gracilleria</w:t>
      </w:r>
      <w:r>
        <w:rPr>
          <w:color w:val="000000"/>
        </w:rPr>
        <w:t>/</w:t>
      </w:r>
      <w:r w:rsidR="007142F4">
        <w:rPr>
          <w:color w:val="000000"/>
        </w:rPr>
        <w:t xml:space="preserve"> </w:t>
      </w:r>
      <w:r>
        <w:rPr>
          <w:color w:val="000000"/>
        </w:rPr>
        <w:t>Kappaphycus cultivation), and a persistent misalignment between farmers, processors and end customers.</w:t>
      </w:r>
    </w:p>
    <w:p w14:paraId="0F12F362" w14:textId="6B57AEE2" w:rsidR="00EE7390" w:rsidRDefault="0056086B">
      <w:pPr>
        <w:spacing w:after="160"/>
        <w:jc w:val="both"/>
      </w:pPr>
      <w:r>
        <w:rPr>
          <w:color w:val="000000"/>
        </w:rPr>
        <w:t>The named competitor in this stream is Java Biocolloid</w:t>
      </w:r>
      <w:r>
        <w:rPr>
          <w:color w:val="000000"/>
        </w:rPr>
        <w:t xml:space="preserve">, a major agar processor operating out of Europe with </w:t>
      </w:r>
      <w:r w:rsidR="00561572">
        <w:rPr>
          <w:color w:val="000000"/>
        </w:rPr>
        <w:t>Indonesia</w:t>
      </w:r>
      <w:r>
        <w:rPr>
          <w:color w:val="000000"/>
        </w:rPr>
        <w:t xml:space="preserve"> supply notably, a company NASC already collaborates with rather than competes against directly. They also have a long tail of smaller, family-run Indonesian farms and larger Chinese processors.</w:t>
      </w:r>
    </w:p>
    <w:p w14:paraId="650FB6BD" w14:textId="77777777" w:rsidR="00EE7390" w:rsidRDefault="0056086B">
      <w:pPr>
        <w:spacing w:after="160"/>
        <w:jc w:val="both"/>
      </w:pPr>
      <w:r>
        <w:rPr>
          <w:color w:val="000000"/>
        </w:rPr>
        <w:t>NASC would not be cost-competitive against established Southeast Asian agar producers in this stream, considering NASC's higher labour costs and the remoteness of its target cultivation sites relative to the consolidated processing hubs where these competitors operate. NASC's competitive advantage in this stream depends entirely on the integrated, multi-stream model (i.e. agar as a by-product of a system whose primary output is the soil-improver stream), not on agar unit economics in isolation. This remains</w:t>
      </w:r>
      <w:r>
        <w:rPr>
          <w:color w:val="000000"/>
        </w:rPr>
        <w:t xml:space="preserve"> a secondary stream the Company intends to commercialise from around year 5 and has deliberately excluded from its current financial model.</w:t>
      </w:r>
    </w:p>
    <w:p w14:paraId="26E25D15" w14:textId="77777777" w:rsidR="00EE7390" w:rsidRDefault="0056086B">
      <w:pPr>
        <w:pStyle w:val="Heading2"/>
        <w:spacing w:before="260" w:after="120"/>
      </w:pPr>
      <w:r>
        <w:rPr>
          <w:b/>
          <w:bCs/>
          <w:color w:val="44546A"/>
          <w:sz w:val="23"/>
          <w:szCs w:val="23"/>
        </w:rPr>
        <w:t>8.4 Stream 4: Seaweed processing and extraction technology</w:t>
      </w:r>
    </w:p>
    <w:p w14:paraId="58382042" w14:textId="02EB4812" w:rsidR="00EE7390" w:rsidRDefault="0056086B">
      <w:pPr>
        <w:spacing w:after="160"/>
        <w:jc w:val="both"/>
      </w:pPr>
      <w:r>
        <w:rPr>
          <w:color w:val="000000"/>
        </w:rPr>
        <w:t>The founder views this as important because processing method has a direct effect on unit cost</w:t>
      </w:r>
      <w:r w:rsidR="00745629">
        <w:rPr>
          <w:color w:val="000000"/>
        </w:rPr>
        <w:t xml:space="preserve"> and the ability to adopt the industry in remote areas of Australia</w:t>
      </w:r>
      <w:r>
        <w:rPr>
          <w:color w:val="000000"/>
        </w:rPr>
        <w:t>. She frames the relevant question as whether the competitor is the end</w:t>
      </w:r>
      <w:r w:rsidR="00B07972">
        <w:rPr>
          <w:color w:val="000000"/>
        </w:rPr>
        <w:t>-</w:t>
      </w:r>
      <w:r>
        <w:rPr>
          <w:color w:val="000000"/>
        </w:rPr>
        <w:t>product or the processing model used to make it.</w:t>
      </w:r>
      <w:r w:rsidR="00CE408A">
        <w:rPr>
          <w:color w:val="000000"/>
        </w:rPr>
        <w:t xml:space="preserve"> </w:t>
      </w:r>
      <w:r>
        <w:rPr>
          <w:color w:val="000000"/>
        </w:rPr>
        <w:t>Drawing on her own PhD research, the founder describes existing global seaweed processing as splitting broadly into raw-material processing (three subtypes: alkaline-, acidic- and enzyme-assisted extraction) and dried-material processing (eight subtypes, including microwave-, ultrasonic- and high-pressure-liquid extraction), and states that the majority of existing commercial seaweed processing globally dries the material first, then applies an enzyme-, alkaline- or pressure-assisted extraction step. She ci</w:t>
      </w:r>
      <w:r>
        <w:rPr>
          <w:color w:val="000000"/>
        </w:rPr>
        <w:t xml:space="preserve">ted a current operator using enzyme-assisted aerobic digestion, and Java </w:t>
      </w:r>
      <w:r>
        <w:rPr>
          <w:color w:val="000000"/>
        </w:rPr>
        <w:t>Biocolloid's large-scale agar extraction infrastructure (which she says uses substantial chemical inputs to reach higher purity and requires pre-drying for transport, creating its own quality-control issues) as examples of this conventional, dried-processing approach.</w:t>
      </w:r>
    </w:p>
    <w:p w14:paraId="7C3A6262" w14:textId="77777777" w:rsidR="00EE7390" w:rsidRDefault="0056086B">
      <w:pPr>
        <w:spacing w:after="160"/>
        <w:jc w:val="both"/>
      </w:pPr>
      <w:r>
        <w:rPr>
          <w:color w:val="000000"/>
        </w:rPr>
        <w:t>NASC's process, by contrast, processes raw (undried) seaweed on-site — mechanical maceration followed by heating past the point at which the agar gel releases from the seaweed's cellulose wall, separating a coarse gel fraction from the residual solid biomass. This removes the drying step entirely (along with the need to later re-add water to dried material before extraction) and avoids the high energy input or heavy chemical use that dried-processing routes typically require to reach a high-purity output.</w:t>
      </w:r>
    </w:p>
    <w:p w14:paraId="66DD44B5" w14:textId="77777777" w:rsidR="00EE7390" w:rsidRDefault="0056086B">
      <w:pPr>
        <w:pStyle w:val="Heading2"/>
        <w:spacing w:before="260" w:after="120"/>
      </w:pPr>
      <w:r>
        <w:rPr>
          <w:b/>
          <w:bCs/>
          <w:color w:val="44546A"/>
          <w:sz w:val="23"/>
          <w:szCs w:val="23"/>
        </w:rPr>
        <w:t>8.5 Assessment</w:t>
      </w:r>
    </w:p>
    <w:p w14:paraId="51A1BE60" w14:textId="1D7B714C" w:rsidR="00EE7390" w:rsidRDefault="0056086B">
      <w:pPr>
        <w:spacing w:after="160"/>
        <w:jc w:val="both"/>
      </w:pPr>
      <w:r>
        <w:rPr>
          <w:color w:val="000000"/>
        </w:rPr>
        <w:t>NASC is the only company operating across all four streams described above</w:t>
      </w:r>
      <w:r w:rsidR="00B07972">
        <w:rPr>
          <w:color w:val="000000"/>
        </w:rPr>
        <w:t>,</w:t>
      </w:r>
      <w:r>
        <w:rPr>
          <w:color w:val="000000"/>
        </w:rPr>
        <w:t xml:space="preserve"> a real structural differentiator if the integration itself creates value (for example, through shared infrastructure cost or improved unit economics from monetising multiple outputs of a single input stream). That “integration thesis” is plausible but not independently tested, and should be examined directly against the container T</w:t>
      </w:r>
      <w:r w:rsidR="00CE408A">
        <w:rPr>
          <w:color w:val="000000"/>
        </w:rPr>
        <w:t>echno-</w:t>
      </w:r>
      <w:r w:rsidR="003D1E2A">
        <w:rPr>
          <w:color w:val="000000"/>
        </w:rPr>
        <w:t>economic</w:t>
      </w:r>
      <w:r w:rsidR="00CE408A">
        <w:rPr>
          <w:color w:val="000000"/>
        </w:rPr>
        <w:t xml:space="preserve"> anal</w:t>
      </w:r>
      <w:r w:rsidR="003D1E2A">
        <w:rPr>
          <w:color w:val="000000"/>
        </w:rPr>
        <w:t>ysis</w:t>
      </w:r>
      <w:r>
        <w:rPr>
          <w:color w:val="000000"/>
        </w:rPr>
        <w:t>.</w:t>
      </w:r>
    </w:p>
    <w:p w14:paraId="451154EC" w14:textId="67F589F2" w:rsidR="00EE7390" w:rsidRDefault="0056086B">
      <w:pPr>
        <w:spacing w:after="160"/>
        <w:jc w:val="both"/>
      </w:pPr>
      <w:r>
        <w:rPr>
          <w:color w:val="000000"/>
        </w:rPr>
        <w:t>It also reveals unevenly distributed competitive risk across the four streams. NASC faces established, named commercial competitors in the agar (Java Biocolloid, unnamed Chinese processors) and agricultural-retail (Seasol) streams, where NASC concedes it would not be cost-competitive on a standalone basis</w:t>
      </w:r>
      <w:r w:rsidR="00B07972">
        <w:rPr>
          <w:color w:val="000000"/>
        </w:rPr>
        <w:t>.</w:t>
      </w:r>
      <w:r>
        <w:rPr>
          <w:color w:val="000000"/>
        </w:rPr>
        <w:t xml:space="preserve"> </w:t>
      </w:r>
      <w:r w:rsidR="00B07972">
        <w:rPr>
          <w:color w:val="000000"/>
        </w:rPr>
        <w:t>B</w:t>
      </w:r>
      <w:r>
        <w:rPr>
          <w:color w:val="000000"/>
        </w:rPr>
        <w:t xml:space="preserve">oth are, however, streams </w:t>
      </w:r>
      <w:r>
        <w:rPr>
          <w:color w:val="000000"/>
        </w:rPr>
        <w:lastRenderedPageBreak/>
        <w:t>the Company has deliberately kept out of its current financial model. By contrast, in mine site rehabilitation</w:t>
      </w:r>
      <w:r w:rsidR="00B07972">
        <w:rPr>
          <w:color w:val="000000"/>
        </w:rPr>
        <w:t>,</w:t>
      </w:r>
      <w:r>
        <w:rPr>
          <w:color w:val="000000"/>
        </w:rPr>
        <w:t xml:space="preserve"> the stream this raise and the financial model are actually built around</w:t>
      </w:r>
      <w:r w:rsidR="00B07972">
        <w:rPr>
          <w:color w:val="000000"/>
        </w:rPr>
        <w:t>,</w:t>
      </w:r>
      <w:r>
        <w:rPr>
          <w:color w:val="000000"/>
        </w:rPr>
        <w:t xml:space="preserve"> there is no direct commercial competitor, only an adjacent alternative (biochar) that is technically weaker, plus several groups (Quenda, seed-application/machinery providers) recharacterised as potential partners rather than competitors. Several specific claims underlying this analysis are informal or as-yet unverified</w:t>
      </w:r>
      <w:r w:rsidR="00B07972">
        <w:rPr>
          <w:color w:val="000000"/>
        </w:rPr>
        <w:t>,</w:t>
      </w:r>
      <w:r>
        <w:rPr>
          <w:color w:val="000000"/>
        </w:rPr>
        <w:t xml:space="preserve"> the Seasol</w:t>
      </w:r>
      <w:r>
        <w:rPr>
          <w:color w:val="000000"/>
        </w:rPr>
        <w:t xml:space="preserve"> supply-constraint claim is expressly anecdotal, and the unnamed Chinese agar processors and the unnamed enzyme-assisted-digestion operator could not be identified at the time of this review.</w:t>
      </w:r>
    </w:p>
    <w:p w14:paraId="44F3B8BA" w14:textId="77777777" w:rsidR="00EE7390" w:rsidRDefault="0056086B">
      <w:pPr>
        <w:pStyle w:val="Heading1"/>
        <w:pBdr>
          <w:bottom w:val="single" w:sz="8" w:space="4" w:color="1F3864"/>
        </w:pBdr>
        <w:spacing w:before="400" w:after="160"/>
      </w:pPr>
      <w:r>
        <w:rPr>
          <w:b/>
          <w:bCs/>
          <w:color w:val="1F3864"/>
          <w:sz w:val="27"/>
          <w:szCs w:val="27"/>
        </w:rPr>
        <w:t>9. IP Strategy</w:t>
      </w:r>
    </w:p>
    <w:p w14:paraId="55028CFD" w14:textId="77777777" w:rsidR="00EE7390" w:rsidRDefault="0056086B">
      <w:pPr>
        <w:spacing w:after="160"/>
        <w:jc w:val="both"/>
      </w:pPr>
      <w:r>
        <w:rPr>
          <w:color w:val="000000"/>
        </w:rPr>
        <w:t>The founder has set out why the Company has chosen not to pursue patent protection for its core processing technology and instead relies on trade secret. This has been set out as its own section given how directly it bears on the durability of the technical differentiation, and because the absence of a patent application is the kind of thing this Committee would otherwise be entitled to ask about.</w:t>
      </w:r>
    </w:p>
    <w:p w14:paraId="5DE7A272" w14:textId="77777777" w:rsidR="00EE7390" w:rsidRDefault="0056086B">
      <w:pPr>
        <w:spacing w:after="160"/>
        <w:jc w:val="both"/>
      </w:pPr>
      <w:r>
        <w:rPr>
          <w:color w:val="000000"/>
        </w:rPr>
        <w:t>NASC's process is unique in how it processes seaweed, but not in the underlying engineering: the equipment involved (heating and mechanical maceration) is basic, off-the-shelf industrial equipment, not a novel apparatus comparable to a purpose-built distillation column. One of the company's advisors — who has been through the same assessment previously on other engineering projects — has confirmed this view: obtaining a patent covering the processing equipment itself would be difficult, because patentabilit</w:t>
      </w:r>
      <w:r>
        <w:rPr>
          <w:color w:val="000000"/>
        </w:rPr>
        <w:t>y turns on whether something is unique and not already done elsewhere, not on whether it is innovative or effective. On this basis, it was concluded that an equipment- or apparatus-based patent claim would be unlikely to succeed, and that pursuing one would in any case require public disclosure of process detail the Company would rather keep confidential.</w:t>
      </w:r>
    </w:p>
    <w:p w14:paraId="1A4FD5C5" w14:textId="77777777" w:rsidR="00EE7390" w:rsidRDefault="0056086B">
      <w:pPr>
        <w:spacing w:after="160"/>
        <w:jc w:val="both"/>
      </w:pPr>
      <w:r>
        <w:rPr>
          <w:color w:val="000000"/>
        </w:rPr>
        <w:t xml:space="preserve">The Company's chosen alternative is to protect the specific processing methodology, rather than the equipment, as an in-house trade secret. The founder characterises this as “the secret sauce”: the specific operating parameters, such as how long material is held for processing and how finely it is macerated (particle size), together with the other processing conditions that determine the quality and consistency of the output. The Company's practice is to withhold these specific parameters from publication, </w:t>
      </w:r>
      <w:r>
        <w:rPr>
          <w:color w:val="000000"/>
        </w:rPr>
        <w:t>including from the founder's own PhD thesis and any associated academic papers, so that the general method may be discussed publicly (including with this Committee) without disclosing the operating detail that makes it commercially reproducible.</w:t>
      </w:r>
    </w:p>
    <w:p w14:paraId="03C89EB1" w14:textId="77777777" w:rsidR="00EE7390" w:rsidRDefault="0056086B">
      <w:pPr>
        <w:spacing w:after="160"/>
        <w:jc w:val="both"/>
      </w:pPr>
      <w:r>
        <w:rPr>
          <w:color w:val="000000"/>
        </w:rPr>
        <w:t>The founder was explicit that this is a deliberate choice made with advice, not an oversight or a gap in the Company's IP position: a trade-secret-only approach is, in her (and her advisor's) assessment, the more defensible route for this specific kind of process-based innovation.</w:t>
      </w:r>
    </w:p>
    <w:p w14:paraId="427CA1A6" w14:textId="570D8A20" w:rsidR="00EE7390" w:rsidRDefault="0056086B">
      <w:pPr>
        <w:spacing w:after="160"/>
        <w:jc w:val="both"/>
      </w:pPr>
      <w:r>
        <w:rPr>
          <w:color w:val="000000"/>
        </w:rPr>
        <w:t>This should be considered a coherent and fairly common approach for a process innovation built on standard equipment, and would not on its own treat the absence of a patent application as a red flag. That said, trade-secret protection is inherently weaker than a granted patent — it protects against misappropriation, not independent discovery or reverse engineering, and its value depends entirely on the Company's ongoing confidentiality discipline. We recommend confirming, as part of legal due diligence, tha</w:t>
      </w:r>
      <w:r>
        <w:rPr>
          <w:color w:val="000000"/>
        </w:rPr>
        <w:t>t this discipline is actually contractually enforced — e.g. confidentiality/IP-assignment terms in the founder's own employment agreement and PhD arrangements with UWA, NDAs with contractors and trial partners (including BHP), and controls over lab notebooks and trial data — rather than resting on informal practice alone.</w:t>
      </w:r>
    </w:p>
    <w:p w14:paraId="425243BB" w14:textId="77777777" w:rsidR="00EE7390" w:rsidRDefault="0056086B">
      <w:pPr>
        <w:pStyle w:val="Heading1"/>
        <w:pBdr>
          <w:bottom w:val="single" w:sz="8" w:space="4" w:color="1F3864"/>
        </w:pBdr>
        <w:spacing w:before="400" w:after="160"/>
      </w:pPr>
      <w:r>
        <w:rPr>
          <w:b/>
          <w:bCs/>
          <w:color w:val="1F3864"/>
          <w:sz w:val="27"/>
          <w:szCs w:val="27"/>
        </w:rPr>
        <w:t>10. IP Ownership</w:t>
      </w:r>
    </w:p>
    <w:p w14:paraId="07579896" w14:textId="77777777" w:rsidR="002D63A1" w:rsidRDefault="00517D34" w:rsidP="002D63A1">
      <w:r w:rsidRPr="00C656DB">
        <w:t xml:space="preserve">The only IP related to </w:t>
      </w:r>
      <w:r w:rsidR="00C656DB">
        <w:t>the founders</w:t>
      </w:r>
      <w:r w:rsidR="002D63A1">
        <w:t xml:space="preserve"> </w:t>
      </w:r>
      <w:r w:rsidRPr="00C656DB">
        <w:t xml:space="preserve">PhD is the seaweed processing phases and pot trials associated with the seaweed derived soil product. As outlined in section 5 of “Intellectual Property Policy - UP07/49” that </w:t>
      </w:r>
      <w:r w:rsidRPr="00C656DB">
        <w:rPr>
          <w:i/>
          <w:iCs/>
        </w:rPr>
        <w:t>(A).</w:t>
      </w:r>
      <w:r w:rsidR="002D63A1">
        <w:rPr>
          <w:i/>
          <w:iCs/>
        </w:rPr>
        <w:t xml:space="preserve"> </w:t>
      </w:r>
      <w:r w:rsidRPr="00C656DB">
        <w:rPr>
          <w:i/>
          <w:iCs/>
        </w:rPr>
        <w:t>Students will own the IP they create.</w:t>
      </w:r>
      <w:r w:rsidRPr="00C656DB">
        <w:t xml:space="preserve"> The university Student Deed Poll also states that:</w:t>
      </w:r>
    </w:p>
    <w:p w14:paraId="0447280F" w14:textId="77777777" w:rsidR="002D63A1" w:rsidRDefault="002D63A1" w:rsidP="002D63A1"/>
    <w:p w14:paraId="5F99B3B2" w14:textId="46855628" w:rsidR="00517D34" w:rsidRDefault="00517D34" w:rsidP="002D63A1">
      <w:pPr>
        <w:rPr>
          <w:i/>
          <w:iCs/>
        </w:rPr>
      </w:pPr>
      <w:r w:rsidRPr="002D63A1">
        <w:rPr>
          <w:i/>
          <w:iCs/>
        </w:rPr>
        <w:t>“UWA has no automatic legal right to intellectual property (IP) created by students during the course of their studies at UWA. However, in some instances students may be requested to reassign their rights to IP generated while participating in research projects using a ‘Student Deed Poll’ (the Deed). The Deed can be used when the project is funded by a third party, pre-existing IP is used by the student, or significant university resources are required by the student.”</w:t>
      </w:r>
    </w:p>
    <w:p w14:paraId="574AD675" w14:textId="77777777" w:rsidR="002D63A1" w:rsidRDefault="002D63A1" w:rsidP="002D63A1">
      <w:pPr>
        <w:rPr>
          <w:i/>
          <w:iCs/>
        </w:rPr>
      </w:pPr>
    </w:p>
    <w:p w14:paraId="6CC5B240" w14:textId="2E73C736" w:rsidR="002D63A1" w:rsidRDefault="002D63A1" w:rsidP="002D63A1">
      <w:r>
        <w:lastRenderedPageBreak/>
        <w:t>The below block-flow diagram outlines how the IP Ownership of any works associated with Alison Duguid’s PhD</w:t>
      </w:r>
      <w:r w:rsidR="00486AD9">
        <w:t xml:space="preserve"> is related since inception on the 5</w:t>
      </w:r>
      <w:r w:rsidR="00486AD9" w:rsidRPr="00486AD9">
        <w:rPr>
          <w:vertAlign w:val="superscript"/>
        </w:rPr>
        <w:t>th</w:t>
      </w:r>
      <w:r w:rsidR="00486AD9">
        <w:t xml:space="preserve"> of February 2024:</w:t>
      </w:r>
    </w:p>
    <w:p w14:paraId="7943C6D2" w14:textId="77777777" w:rsidR="00486AD9" w:rsidRPr="002D63A1" w:rsidRDefault="00486AD9" w:rsidP="002D63A1"/>
    <w:p w14:paraId="701412EA" w14:textId="77777777" w:rsidR="00517D34" w:rsidRDefault="00517D34" w:rsidP="00517D34">
      <w:pPr>
        <w:pStyle w:val="ListParagraph"/>
        <w:ind w:left="792"/>
        <w:rPr>
          <w:sz w:val="16"/>
          <w:szCs w:val="16"/>
        </w:rPr>
      </w:pPr>
      <w:r>
        <w:rPr>
          <w:noProof/>
          <w:sz w:val="16"/>
          <w:szCs w:val="16"/>
        </w:rPr>
        <w:drawing>
          <wp:inline distT="0" distB="0" distL="0" distR="0" wp14:anchorId="48653F89" wp14:editId="6F435132">
            <wp:extent cx="5486400" cy="2240583"/>
            <wp:effectExtent l="0" t="0" r="0" b="26670"/>
            <wp:docPr id="59013926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D269870" w14:textId="77777777" w:rsidR="00517D34" w:rsidRDefault="00517D34" w:rsidP="00517D34">
      <w:pPr>
        <w:pStyle w:val="ListParagraph"/>
        <w:ind w:left="792"/>
        <w:rPr>
          <w:sz w:val="16"/>
          <w:szCs w:val="16"/>
        </w:rPr>
      </w:pPr>
    </w:p>
    <w:p w14:paraId="6661B392" w14:textId="7E88132A" w:rsidR="00E1722D" w:rsidRDefault="00E1722D">
      <w:pPr>
        <w:rPr>
          <w:b/>
          <w:bCs/>
          <w:color w:val="1F3864"/>
          <w:sz w:val="27"/>
          <w:szCs w:val="27"/>
        </w:rPr>
      </w:pPr>
      <w:r>
        <w:rPr>
          <w:b/>
          <w:bCs/>
          <w:color w:val="1F3864"/>
          <w:sz w:val="27"/>
          <w:szCs w:val="27"/>
        </w:rPr>
        <w:br w:type="page"/>
      </w:r>
    </w:p>
    <w:p w14:paraId="56E8A78E" w14:textId="51B9F7BB" w:rsidR="00EE7390" w:rsidRDefault="0056086B">
      <w:pPr>
        <w:pStyle w:val="Heading1"/>
        <w:pBdr>
          <w:bottom w:val="single" w:sz="8" w:space="4" w:color="1F3864"/>
        </w:pBdr>
        <w:spacing w:before="400" w:after="160"/>
      </w:pPr>
      <w:r>
        <w:rPr>
          <w:b/>
          <w:bCs/>
          <w:color w:val="1F3864"/>
          <w:sz w:val="27"/>
          <w:szCs w:val="27"/>
        </w:rPr>
        <w:lastRenderedPageBreak/>
        <w:t>11. Traction and Customer/Partner Validation</w:t>
      </w:r>
    </w:p>
    <w:p w14:paraId="3670D963" w14:textId="77777777" w:rsidR="00EE7390" w:rsidRDefault="0056086B">
      <w:pPr>
        <w:spacing w:after="160"/>
        <w:jc w:val="both"/>
      </w:pPr>
      <w:r>
        <w:rPr>
          <w:color w:val="000000"/>
        </w:rPr>
        <w:t>The table below summarises the status of the Company's key commercial, institutional and community relationships as at the most recent information available to us. We have distinguished between executed/binding arrangements, non-binding frameworks (MOUs, letters of support), and informal or proposal-stage discussions, since these carry materially different weight as diligence evidence.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3400"/>
        <w:gridCol w:w="3600"/>
      </w:tblGrid>
      <w:tr w:rsidR="00EE7390" w14:paraId="6B7C9985" w14:textId="77777777">
        <w:trPr>
          <w:tblHeader/>
        </w:trPr>
        <w:tc>
          <w:tcPr>
            <w:tcW w:w="2350" w:type="dxa"/>
            <w:shd w:val="clear" w:color="auto" w:fill="1F3864"/>
            <w:tcMar>
              <w:top w:w="80" w:type="dxa"/>
              <w:left w:w="110" w:type="dxa"/>
              <w:bottom w:w="80" w:type="dxa"/>
              <w:right w:w="110" w:type="dxa"/>
            </w:tcMar>
            <w:vAlign w:val="center"/>
          </w:tcPr>
          <w:p w14:paraId="22508CE6" w14:textId="6D7BCDCB" w:rsidR="00EE7390" w:rsidRDefault="005819EA">
            <w:r>
              <w:rPr>
                <w:b/>
                <w:bCs/>
                <w:color w:val="FFFFFF"/>
                <w:sz w:val="20"/>
                <w:szCs w:val="20"/>
              </w:rPr>
              <w:t>Key Counterparty</w:t>
            </w:r>
          </w:p>
        </w:tc>
        <w:tc>
          <w:tcPr>
            <w:tcW w:w="3400" w:type="dxa"/>
            <w:shd w:val="clear" w:color="auto" w:fill="1F3864"/>
            <w:tcMar>
              <w:top w:w="80" w:type="dxa"/>
              <w:left w:w="110" w:type="dxa"/>
              <w:bottom w:w="80" w:type="dxa"/>
              <w:right w:w="110" w:type="dxa"/>
            </w:tcMar>
            <w:vAlign w:val="center"/>
          </w:tcPr>
          <w:p w14:paraId="073A168B" w14:textId="77777777" w:rsidR="00EE7390" w:rsidRDefault="0056086B">
            <w:r>
              <w:rPr>
                <w:b/>
                <w:bCs/>
                <w:color w:val="FFFFFF"/>
                <w:sz w:val="20"/>
                <w:szCs w:val="20"/>
              </w:rPr>
              <w:t>Nature of relationship</w:t>
            </w:r>
          </w:p>
        </w:tc>
        <w:tc>
          <w:tcPr>
            <w:tcW w:w="3600" w:type="dxa"/>
            <w:shd w:val="clear" w:color="auto" w:fill="1F3864"/>
            <w:tcMar>
              <w:top w:w="80" w:type="dxa"/>
              <w:left w:w="110" w:type="dxa"/>
              <w:bottom w:w="80" w:type="dxa"/>
              <w:right w:w="110" w:type="dxa"/>
            </w:tcMar>
            <w:vAlign w:val="center"/>
          </w:tcPr>
          <w:p w14:paraId="5A7F94CE" w14:textId="77777777" w:rsidR="00EE7390" w:rsidRDefault="0056086B">
            <w:r>
              <w:rPr>
                <w:b/>
                <w:bCs/>
                <w:color w:val="FFFFFF"/>
                <w:sz w:val="20"/>
                <w:szCs w:val="20"/>
              </w:rPr>
              <w:t>Status</w:t>
            </w:r>
          </w:p>
        </w:tc>
      </w:tr>
      <w:tr w:rsidR="00EE7390" w14:paraId="016A01E5" w14:textId="77777777">
        <w:tc>
          <w:tcPr>
            <w:tcW w:w="2350" w:type="dxa"/>
            <w:tcMar>
              <w:top w:w="80" w:type="dxa"/>
              <w:left w:w="110" w:type="dxa"/>
              <w:bottom w:w="80" w:type="dxa"/>
              <w:right w:w="110" w:type="dxa"/>
            </w:tcMar>
            <w:vAlign w:val="center"/>
          </w:tcPr>
          <w:p w14:paraId="261A78BB" w14:textId="7B8FBA66" w:rsidR="00EE7390" w:rsidRDefault="00E1722D">
            <w:r>
              <w:rPr>
                <w:color w:val="000000"/>
                <w:sz w:val="20"/>
                <w:szCs w:val="20"/>
              </w:rPr>
              <w:t>Paspalis Capital Pty Ltd (lead pre-seed investor)</w:t>
            </w:r>
          </w:p>
        </w:tc>
        <w:tc>
          <w:tcPr>
            <w:tcW w:w="3400" w:type="dxa"/>
            <w:tcMar>
              <w:top w:w="80" w:type="dxa"/>
              <w:left w:w="110" w:type="dxa"/>
              <w:bottom w:w="80" w:type="dxa"/>
              <w:right w:w="110" w:type="dxa"/>
            </w:tcMar>
            <w:vAlign w:val="center"/>
          </w:tcPr>
          <w:p w14:paraId="609669AF" w14:textId="77777777" w:rsidR="00EE7390" w:rsidRDefault="0056086B">
            <w:r>
              <w:rPr>
                <w:color w:val="000000"/>
                <w:sz w:val="20"/>
                <w:szCs w:val="20"/>
              </w:rPr>
              <w:t>Equity investor (SAFE)</w:t>
            </w:r>
          </w:p>
        </w:tc>
        <w:tc>
          <w:tcPr>
            <w:tcW w:w="3600" w:type="dxa"/>
            <w:tcMar>
              <w:top w:w="80" w:type="dxa"/>
              <w:left w:w="110" w:type="dxa"/>
              <w:bottom w:w="80" w:type="dxa"/>
              <w:right w:w="110" w:type="dxa"/>
            </w:tcMar>
            <w:vAlign w:val="center"/>
          </w:tcPr>
          <w:p w14:paraId="056150EB" w14:textId="77777777" w:rsidR="00EE7390" w:rsidRDefault="0056086B">
            <w:r>
              <w:rPr>
                <w:color w:val="000000"/>
                <w:sz w:val="20"/>
                <w:szCs w:val="20"/>
              </w:rPr>
              <w:t>Executed — $50,000, 20% discount, $5m cap</w:t>
            </w:r>
          </w:p>
        </w:tc>
      </w:tr>
      <w:tr w:rsidR="00E95035" w14:paraId="523C5B51" w14:textId="77777777">
        <w:tc>
          <w:tcPr>
            <w:tcW w:w="2350" w:type="dxa"/>
            <w:tcMar>
              <w:top w:w="80" w:type="dxa"/>
              <w:left w:w="110" w:type="dxa"/>
              <w:bottom w:w="80" w:type="dxa"/>
              <w:right w:w="110" w:type="dxa"/>
            </w:tcMar>
            <w:vAlign w:val="center"/>
          </w:tcPr>
          <w:p w14:paraId="58598139" w14:textId="60A87B31" w:rsidR="00E95035" w:rsidRDefault="00E95035" w:rsidP="00E95035">
            <w:pPr>
              <w:rPr>
                <w:color w:val="000000"/>
                <w:sz w:val="20"/>
                <w:szCs w:val="20"/>
              </w:rPr>
            </w:pPr>
            <w:r>
              <w:rPr>
                <w:color w:val="000000"/>
                <w:sz w:val="20"/>
                <w:szCs w:val="20"/>
              </w:rPr>
              <w:t>Katrina Fong Lim (Advisor / pre-seed investor)</w:t>
            </w:r>
          </w:p>
        </w:tc>
        <w:tc>
          <w:tcPr>
            <w:tcW w:w="3400" w:type="dxa"/>
            <w:tcMar>
              <w:top w:w="80" w:type="dxa"/>
              <w:left w:w="110" w:type="dxa"/>
              <w:bottom w:w="80" w:type="dxa"/>
              <w:right w:w="110" w:type="dxa"/>
            </w:tcMar>
            <w:vAlign w:val="center"/>
          </w:tcPr>
          <w:p w14:paraId="7CBF39C0" w14:textId="7D6BA8F2" w:rsidR="00E95035" w:rsidRDefault="00E95035" w:rsidP="00E95035">
            <w:pPr>
              <w:rPr>
                <w:color w:val="000000"/>
                <w:sz w:val="20"/>
                <w:szCs w:val="20"/>
              </w:rPr>
            </w:pPr>
            <w:r>
              <w:rPr>
                <w:color w:val="000000"/>
                <w:sz w:val="20"/>
                <w:szCs w:val="20"/>
              </w:rPr>
              <w:t>Equity investor (SAFE)</w:t>
            </w:r>
          </w:p>
        </w:tc>
        <w:tc>
          <w:tcPr>
            <w:tcW w:w="3600" w:type="dxa"/>
            <w:tcMar>
              <w:top w:w="80" w:type="dxa"/>
              <w:left w:w="110" w:type="dxa"/>
              <w:bottom w:w="80" w:type="dxa"/>
              <w:right w:w="110" w:type="dxa"/>
            </w:tcMar>
            <w:vAlign w:val="center"/>
          </w:tcPr>
          <w:p w14:paraId="4F1776FB" w14:textId="697DE5A6" w:rsidR="00E95035" w:rsidRDefault="00E95035" w:rsidP="00E95035">
            <w:pPr>
              <w:rPr>
                <w:color w:val="000000"/>
                <w:sz w:val="20"/>
                <w:szCs w:val="20"/>
              </w:rPr>
            </w:pPr>
            <w:r>
              <w:rPr>
                <w:color w:val="000000"/>
                <w:sz w:val="20"/>
                <w:szCs w:val="20"/>
              </w:rPr>
              <w:t>Executed — $100,000, 20% discount, $5m cap</w:t>
            </w:r>
          </w:p>
        </w:tc>
      </w:tr>
      <w:tr w:rsidR="00E95035" w14:paraId="7C2E49C1" w14:textId="77777777">
        <w:tc>
          <w:tcPr>
            <w:tcW w:w="2350" w:type="dxa"/>
            <w:shd w:val="clear" w:color="auto" w:fill="F2F2F2"/>
            <w:tcMar>
              <w:top w:w="80" w:type="dxa"/>
              <w:left w:w="110" w:type="dxa"/>
              <w:bottom w:w="80" w:type="dxa"/>
              <w:right w:w="110" w:type="dxa"/>
            </w:tcMar>
            <w:vAlign w:val="center"/>
          </w:tcPr>
          <w:p w14:paraId="5AD75C59" w14:textId="0E540700" w:rsidR="00E95035" w:rsidRDefault="008719A6" w:rsidP="00E95035">
            <w:r>
              <w:rPr>
                <w:color w:val="000000"/>
                <w:sz w:val="20"/>
                <w:szCs w:val="20"/>
              </w:rPr>
              <w:t>BECNT</w:t>
            </w:r>
          </w:p>
        </w:tc>
        <w:tc>
          <w:tcPr>
            <w:tcW w:w="3400" w:type="dxa"/>
            <w:shd w:val="clear" w:color="auto" w:fill="F2F2F2"/>
            <w:tcMar>
              <w:top w:w="80" w:type="dxa"/>
              <w:left w:w="110" w:type="dxa"/>
              <w:bottom w:w="80" w:type="dxa"/>
              <w:right w:w="110" w:type="dxa"/>
            </w:tcMar>
            <w:vAlign w:val="center"/>
          </w:tcPr>
          <w:p w14:paraId="12FE97FB" w14:textId="4E0B805D" w:rsidR="00E95035" w:rsidRDefault="008719A6" w:rsidP="00E95035">
            <w:r>
              <w:rPr>
                <w:color w:val="000000"/>
                <w:sz w:val="20"/>
                <w:szCs w:val="20"/>
              </w:rPr>
              <w:t>I</w:t>
            </w:r>
            <w:r w:rsidR="00E95035">
              <w:rPr>
                <w:color w:val="000000"/>
                <w:sz w:val="20"/>
                <w:szCs w:val="20"/>
              </w:rPr>
              <w:t>nvestment-readiness program partner</w:t>
            </w:r>
          </w:p>
        </w:tc>
        <w:tc>
          <w:tcPr>
            <w:tcW w:w="3600" w:type="dxa"/>
            <w:shd w:val="clear" w:color="auto" w:fill="F2F2F2"/>
            <w:tcMar>
              <w:top w:w="80" w:type="dxa"/>
              <w:left w:w="110" w:type="dxa"/>
              <w:bottom w:w="80" w:type="dxa"/>
              <w:right w:w="110" w:type="dxa"/>
            </w:tcMar>
            <w:vAlign w:val="center"/>
          </w:tcPr>
          <w:p w14:paraId="4C19285D" w14:textId="77777777" w:rsidR="00E95035" w:rsidRDefault="00E95035" w:rsidP="00E95035">
            <w:r>
              <w:rPr>
                <w:color w:val="000000"/>
                <w:sz w:val="20"/>
                <w:szCs w:val="20"/>
              </w:rPr>
              <w:t>In progress — SAFE side letter makes part of the existing raise conditional on NTG co-funding being secured</w:t>
            </w:r>
          </w:p>
        </w:tc>
      </w:tr>
      <w:tr w:rsidR="00E95035" w14:paraId="5F4A6678" w14:textId="77777777">
        <w:tc>
          <w:tcPr>
            <w:tcW w:w="2350" w:type="dxa"/>
            <w:tcMar>
              <w:top w:w="80" w:type="dxa"/>
              <w:left w:w="110" w:type="dxa"/>
              <w:bottom w:w="80" w:type="dxa"/>
              <w:right w:w="110" w:type="dxa"/>
            </w:tcMar>
            <w:vAlign w:val="center"/>
          </w:tcPr>
          <w:p w14:paraId="16D06661" w14:textId="77777777" w:rsidR="00E95035" w:rsidRDefault="00E95035" w:rsidP="00E95035">
            <w:r>
              <w:rPr>
                <w:color w:val="000000"/>
                <w:sz w:val="20"/>
                <w:szCs w:val="20"/>
              </w:rPr>
              <w:t>Founders Factory / FF Nature Tech (WA Government-funded accelerator)</w:t>
            </w:r>
          </w:p>
        </w:tc>
        <w:tc>
          <w:tcPr>
            <w:tcW w:w="3400" w:type="dxa"/>
            <w:tcMar>
              <w:top w:w="80" w:type="dxa"/>
              <w:left w:w="110" w:type="dxa"/>
              <w:bottom w:w="80" w:type="dxa"/>
              <w:right w:w="110" w:type="dxa"/>
            </w:tcMar>
            <w:vAlign w:val="center"/>
          </w:tcPr>
          <w:p w14:paraId="53F4550E" w14:textId="77777777" w:rsidR="00E95035" w:rsidRDefault="00E95035" w:rsidP="00E95035">
            <w:r>
              <w:rPr>
                <w:color w:val="000000"/>
                <w:sz w:val="20"/>
                <w:szCs w:val="20"/>
              </w:rPr>
              <w:t>Accelerator + option holder (c. 1% ordinary shares)</w:t>
            </w:r>
          </w:p>
        </w:tc>
        <w:tc>
          <w:tcPr>
            <w:tcW w:w="3600" w:type="dxa"/>
            <w:tcMar>
              <w:top w:w="80" w:type="dxa"/>
              <w:left w:w="110" w:type="dxa"/>
              <w:bottom w:w="80" w:type="dxa"/>
              <w:right w:w="110" w:type="dxa"/>
            </w:tcMar>
            <w:vAlign w:val="center"/>
          </w:tcPr>
          <w:p w14:paraId="5F6FCE4E" w14:textId="77777777" w:rsidR="00E95035" w:rsidRDefault="00E95035" w:rsidP="00E95035">
            <w:r>
              <w:rPr>
                <w:color w:val="000000"/>
                <w:sz w:val="20"/>
                <w:szCs w:val="20"/>
              </w:rPr>
              <w:t>Executed — $50,000 cash + c. $150,000 in-kind program</w:t>
            </w:r>
          </w:p>
        </w:tc>
      </w:tr>
      <w:tr w:rsidR="00E95035" w14:paraId="59A5996E" w14:textId="77777777">
        <w:tc>
          <w:tcPr>
            <w:tcW w:w="2350" w:type="dxa"/>
            <w:shd w:val="clear" w:color="auto" w:fill="F2F2F2"/>
            <w:tcMar>
              <w:top w:w="80" w:type="dxa"/>
              <w:left w:w="110" w:type="dxa"/>
              <w:bottom w:w="80" w:type="dxa"/>
              <w:right w:w="110" w:type="dxa"/>
            </w:tcMar>
            <w:vAlign w:val="center"/>
          </w:tcPr>
          <w:p w14:paraId="4449E528" w14:textId="6A5FAFF3" w:rsidR="00E95035" w:rsidRDefault="00E95035" w:rsidP="00E95035">
            <w:r>
              <w:rPr>
                <w:color w:val="000000"/>
                <w:sz w:val="20"/>
                <w:szCs w:val="20"/>
              </w:rPr>
              <w:t>Rio Tinto (Gove/</w:t>
            </w:r>
            <w:r w:rsidR="007518D6">
              <w:rPr>
                <w:color w:val="000000"/>
                <w:sz w:val="20"/>
                <w:szCs w:val="20"/>
              </w:rPr>
              <w:t>Kimberely</w:t>
            </w:r>
            <w:r w:rsidR="008719A6">
              <w:rPr>
                <w:color w:val="000000"/>
                <w:sz w:val="20"/>
                <w:szCs w:val="20"/>
              </w:rPr>
              <w:t>/Pilbara</w:t>
            </w:r>
            <w:r>
              <w:rPr>
                <w:color w:val="000000"/>
                <w:sz w:val="20"/>
                <w:szCs w:val="20"/>
              </w:rPr>
              <w:t>)</w:t>
            </w:r>
          </w:p>
        </w:tc>
        <w:tc>
          <w:tcPr>
            <w:tcW w:w="3400" w:type="dxa"/>
            <w:shd w:val="clear" w:color="auto" w:fill="F2F2F2"/>
            <w:tcMar>
              <w:top w:w="80" w:type="dxa"/>
              <w:left w:w="110" w:type="dxa"/>
              <w:bottom w:w="80" w:type="dxa"/>
              <w:right w:w="110" w:type="dxa"/>
            </w:tcMar>
            <w:vAlign w:val="center"/>
          </w:tcPr>
          <w:p w14:paraId="61E90805" w14:textId="77777777" w:rsidR="00E95035" w:rsidRDefault="00E95035" w:rsidP="00E95035">
            <w:r>
              <w:rPr>
                <w:color w:val="000000"/>
                <w:sz w:val="20"/>
                <w:szCs w:val="20"/>
              </w:rPr>
              <w:t>Target mining customer — soil rehabilitation trial</w:t>
            </w:r>
          </w:p>
        </w:tc>
        <w:tc>
          <w:tcPr>
            <w:tcW w:w="3600" w:type="dxa"/>
            <w:shd w:val="clear" w:color="auto" w:fill="F2F2F2"/>
            <w:tcMar>
              <w:top w:w="80" w:type="dxa"/>
              <w:left w:w="110" w:type="dxa"/>
              <w:bottom w:w="80" w:type="dxa"/>
              <w:right w:w="110" w:type="dxa"/>
            </w:tcMar>
            <w:vAlign w:val="center"/>
          </w:tcPr>
          <w:p w14:paraId="43E59583" w14:textId="77777777" w:rsidR="00E95035" w:rsidRDefault="00E95035" w:rsidP="00E95035">
            <w:r>
              <w:rPr>
                <w:color w:val="000000"/>
                <w:sz w:val="20"/>
                <w:szCs w:val="20"/>
              </w:rPr>
              <w:t>Informal interest reported by the Company; no signed letter of support, EOI or trial agreement sighted — top-priority gap</w:t>
            </w:r>
          </w:p>
        </w:tc>
      </w:tr>
      <w:tr w:rsidR="00E95035" w14:paraId="7E179FBD" w14:textId="77777777">
        <w:tc>
          <w:tcPr>
            <w:tcW w:w="2350" w:type="dxa"/>
            <w:tcMar>
              <w:top w:w="80" w:type="dxa"/>
              <w:left w:w="110" w:type="dxa"/>
              <w:bottom w:w="80" w:type="dxa"/>
              <w:right w:w="110" w:type="dxa"/>
            </w:tcMar>
            <w:vAlign w:val="center"/>
          </w:tcPr>
          <w:p w14:paraId="093C8ABA" w14:textId="77777777" w:rsidR="00E95035" w:rsidRDefault="00E95035" w:rsidP="00E95035">
            <w:pPr>
              <w:rPr>
                <w:color w:val="000000"/>
                <w:sz w:val="20"/>
                <w:szCs w:val="20"/>
              </w:rPr>
            </w:pPr>
            <w:r>
              <w:rPr>
                <w:color w:val="000000"/>
                <w:sz w:val="20"/>
                <w:szCs w:val="20"/>
              </w:rPr>
              <w:t>BHP</w:t>
            </w:r>
          </w:p>
          <w:p w14:paraId="40FBFECE" w14:textId="79FABE66" w:rsidR="007518D6" w:rsidRDefault="007518D6" w:rsidP="00E95035">
            <w:r>
              <w:t>(Pilbara/Kimberely)</w:t>
            </w:r>
          </w:p>
        </w:tc>
        <w:tc>
          <w:tcPr>
            <w:tcW w:w="3400" w:type="dxa"/>
            <w:tcMar>
              <w:top w:w="80" w:type="dxa"/>
              <w:left w:w="110" w:type="dxa"/>
              <w:bottom w:w="80" w:type="dxa"/>
              <w:right w:w="110" w:type="dxa"/>
            </w:tcMar>
            <w:vAlign w:val="center"/>
          </w:tcPr>
          <w:p w14:paraId="1E6B099E" w14:textId="77777777" w:rsidR="00E95035" w:rsidRDefault="00E95035" w:rsidP="00E95035">
            <w:r>
              <w:rPr>
                <w:color w:val="000000"/>
                <w:sz w:val="20"/>
                <w:szCs w:val="20"/>
              </w:rPr>
              <w:t>Target mining customer — staged TRL5–TRL7 trial (UWA co-delivered)</w:t>
            </w:r>
          </w:p>
        </w:tc>
        <w:tc>
          <w:tcPr>
            <w:tcW w:w="3600" w:type="dxa"/>
            <w:tcMar>
              <w:top w:w="80" w:type="dxa"/>
              <w:left w:w="110" w:type="dxa"/>
              <w:bottom w:w="80" w:type="dxa"/>
              <w:right w:w="110" w:type="dxa"/>
            </w:tcMar>
            <w:vAlign w:val="center"/>
          </w:tcPr>
          <w:p w14:paraId="0B5CB1A4" w14:textId="1C4D7B69" w:rsidR="00E95035" w:rsidRDefault="00E95035" w:rsidP="00E95035">
            <w:r>
              <w:rPr>
                <w:color w:val="000000"/>
                <w:sz w:val="20"/>
                <w:szCs w:val="20"/>
              </w:rPr>
              <w:t>Detailed proposal developed (Phase 1 lab trial $10k → Phase 3 site trial $230k); informal cost-benchmark data shared by BHP (Aug 2026)</w:t>
            </w:r>
          </w:p>
        </w:tc>
      </w:tr>
      <w:tr w:rsidR="00E95035" w14:paraId="70EBED8F" w14:textId="77777777">
        <w:tc>
          <w:tcPr>
            <w:tcW w:w="2350" w:type="dxa"/>
            <w:shd w:val="clear" w:color="auto" w:fill="F2F2F2"/>
            <w:tcMar>
              <w:top w:w="80" w:type="dxa"/>
              <w:left w:w="110" w:type="dxa"/>
              <w:bottom w:w="80" w:type="dxa"/>
              <w:right w:w="110" w:type="dxa"/>
            </w:tcMar>
            <w:vAlign w:val="center"/>
          </w:tcPr>
          <w:p w14:paraId="6B581A95" w14:textId="1A765EA7" w:rsidR="00E95035" w:rsidRDefault="00E95035" w:rsidP="00E95035">
            <w:r>
              <w:rPr>
                <w:color w:val="000000"/>
                <w:sz w:val="20"/>
                <w:szCs w:val="20"/>
              </w:rPr>
              <w:t xml:space="preserve">South32 </w:t>
            </w:r>
            <w:r w:rsidR="00730851">
              <w:rPr>
                <w:color w:val="000000"/>
                <w:sz w:val="20"/>
                <w:szCs w:val="20"/>
              </w:rPr>
              <w:t xml:space="preserve">/ </w:t>
            </w:r>
            <w:r>
              <w:rPr>
                <w:color w:val="000000"/>
                <w:sz w:val="20"/>
                <w:szCs w:val="20"/>
              </w:rPr>
              <w:t xml:space="preserve">GEMCO </w:t>
            </w:r>
            <w:r w:rsidR="00730851">
              <w:rPr>
                <w:color w:val="000000"/>
                <w:sz w:val="20"/>
                <w:szCs w:val="20"/>
              </w:rPr>
              <w:t>(</w:t>
            </w:r>
            <w:r>
              <w:rPr>
                <w:color w:val="000000"/>
                <w:sz w:val="20"/>
                <w:szCs w:val="20"/>
              </w:rPr>
              <w:t>Groote Eylandt)</w:t>
            </w:r>
          </w:p>
        </w:tc>
        <w:tc>
          <w:tcPr>
            <w:tcW w:w="3400" w:type="dxa"/>
            <w:shd w:val="clear" w:color="auto" w:fill="F2F2F2"/>
            <w:tcMar>
              <w:top w:w="80" w:type="dxa"/>
              <w:left w:w="110" w:type="dxa"/>
              <w:bottom w:w="80" w:type="dxa"/>
              <w:right w:w="110" w:type="dxa"/>
            </w:tcMar>
            <w:vAlign w:val="center"/>
          </w:tcPr>
          <w:p w14:paraId="2E00A8D0" w14:textId="77777777" w:rsidR="00E95035" w:rsidRDefault="00E95035" w:rsidP="00E95035">
            <w:r>
              <w:rPr>
                <w:color w:val="000000"/>
                <w:sz w:val="20"/>
                <w:szCs w:val="20"/>
              </w:rPr>
              <w:t>Target mid-tier mining customer</w:t>
            </w:r>
          </w:p>
        </w:tc>
        <w:tc>
          <w:tcPr>
            <w:tcW w:w="3600" w:type="dxa"/>
            <w:shd w:val="clear" w:color="auto" w:fill="F2F2F2"/>
            <w:tcMar>
              <w:top w:w="80" w:type="dxa"/>
              <w:left w:w="110" w:type="dxa"/>
              <w:bottom w:w="80" w:type="dxa"/>
              <w:right w:w="110" w:type="dxa"/>
            </w:tcMar>
            <w:vAlign w:val="center"/>
          </w:tcPr>
          <w:p w14:paraId="6A58EF94" w14:textId="77777777" w:rsidR="00E95035" w:rsidRDefault="00E95035" w:rsidP="00E95035">
            <w:r>
              <w:rPr>
                <w:color w:val="000000"/>
                <w:sz w:val="20"/>
                <w:szCs w:val="20"/>
              </w:rPr>
              <w:t>Ongoing informal engagement reported by the Company, including through an internal South32 restructure; no formal agreement</w:t>
            </w:r>
          </w:p>
        </w:tc>
      </w:tr>
      <w:tr w:rsidR="00922535" w14:paraId="34F2A933" w14:textId="77777777">
        <w:tc>
          <w:tcPr>
            <w:tcW w:w="2350" w:type="dxa"/>
            <w:shd w:val="clear" w:color="auto" w:fill="F2F2F2"/>
            <w:tcMar>
              <w:top w:w="80" w:type="dxa"/>
              <w:left w:w="110" w:type="dxa"/>
              <w:bottom w:w="80" w:type="dxa"/>
              <w:right w:w="110" w:type="dxa"/>
            </w:tcMar>
            <w:vAlign w:val="center"/>
          </w:tcPr>
          <w:p w14:paraId="533F61E3" w14:textId="3605ECB5" w:rsidR="00922535" w:rsidRDefault="00247728" w:rsidP="00E95035">
            <w:pPr>
              <w:rPr>
                <w:color w:val="000000"/>
                <w:sz w:val="20"/>
                <w:szCs w:val="20"/>
              </w:rPr>
            </w:pPr>
            <w:r w:rsidRPr="00247728">
              <w:rPr>
                <w:color w:val="000000"/>
                <w:sz w:val="20"/>
                <w:szCs w:val="20"/>
              </w:rPr>
              <w:t>Laynhapuy Homelands Aboriginal</w:t>
            </w:r>
          </w:p>
        </w:tc>
        <w:tc>
          <w:tcPr>
            <w:tcW w:w="3400" w:type="dxa"/>
            <w:shd w:val="clear" w:color="auto" w:fill="F2F2F2"/>
            <w:tcMar>
              <w:top w:w="80" w:type="dxa"/>
              <w:left w:w="110" w:type="dxa"/>
              <w:bottom w:w="80" w:type="dxa"/>
              <w:right w:w="110" w:type="dxa"/>
            </w:tcMar>
            <w:vAlign w:val="center"/>
          </w:tcPr>
          <w:p w14:paraId="419B2379" w14:textId="57631840" w:rsidR="00922535" w:rsidRDefault="00FC2F6D" w:rsidP="00E95035">
            <w:pPr>
              <w:rPr>
                <w:color w:val="000000"/>
                <w:sz w:val="20"/>
                <w:szCs w:val="20"/>
              </w:rPr>
            </w:pPr>
            <w:r>
              <w:rPr>
                <w:color w:val="000000"/>
                <w:sz w:val="20"/>
                <w:szCs w:val="20"/>
              </w:rPr>
              <w:t>Traditional Owner partner, East Arnhem region</w:t>
            </w:r>
          </w:p>
        </w:tc>
        <w:tc>
          <w:tcPr>
            <w:tcW w:w="3600" w:type="dxa"/>
            <w:shd w:val="clear" w:color="auto" w:fill="F2F2F2"/>
            <w:tcMar>
              <w:top w:w="80" w:type="dxa"/>
              <w:left w:w="110" w:type="dxa"/>
              <w:bottom w:w="80" w:type="dxa"/>
              <w:right w:w="110" w:type="dxa"/>
            </w:tcMar>
            <w:vAlign w:val="center"/>
          </w:tcPr>
          <w:p w14:paraId="77ACA2E8" w14:textId="2F75DE29" w:rsidR="00922535" w:rsidRDefault="00FC2F6D" w:rsidP="00E95035">
            <w:pPr>
              <w:rPr>
                <w:color w:val="000000"/>
                <w:sz w:val="20"/>
                <w:szCs w:val="20"/>
              </w:rPr>
            </w:pPr>
            <w:r>
              <w:rPr>
                <w:color w:val="000000"/>
                <w:sz w:val="20"/>
                <w:szCs w:val="20"/>
              </w:rPr>
              <w:t>Letter of support (non-commercial)</w:t>
            </w:r>
          </w:p>
        </w:tc>
      </w:tr>
      <w:tr w:rsidR="00E95035" w14:paraId="59F1667C" w14:textId="77777777">
        <w:tc>
          <w:tcPr>
            <w:tcW w:w="2350" w:type="dxa"/>
            <w:tcMar>
              <w:top w:w="80" w:type="dxa"/>
              <w:left w:w="110" w:type="dxa"/>
              <w:bottom w:w="80" w:type="dxa"/>
              <w:right w:w="110" w:type="dxa"/>
            </w:tcMar>
            <w:vAlign w:val="center"/>
          </w:tcPr>
          <w:p w14:paraId="26057D43" w14:textId="77777777" w:rsidR="00E95035" w:rsidRDefault="00E95035" w:rsidP="00E95035">
            <w:r>
              <w:rPr>
                <w:color w:val="000000"/>
                <w:sz w:val="20"/>
                <w:szCs w:val="20"/>
              </w:rPr>
              <w:t>Kimberley Land Council (KLC)</w:t>
            </w:r>
          </w:p>
        </w:tc>
        <w:tc>
          <w:tcPr>
            <w:tcW w:w="3400" w:type="dxa"/>
            <w:tcMar>
              <w:top w:w="80" w:type="dxa"/>
              <w:left w:w="110" w:type="dxa"/>
              <w:bottom w:w="80" w:type="dxa"/>
              <w:right w:w="110" w:type="dxa"/>
            </w:tcMar>
            <w:vAlign w:val="center"/>
          </w:tcPr>
          <w:p w14:paraId="3BA345FD" w14:textId="77777777" w:rsidR="00E95035" w:rsidRDefault="00E95035" w:rsidP="00E95035">
            <w:r>
              <w:rPr>
                <w:color w:val="000000"/>
                <w:sz w:val="20"/>
                <w:szCs w:val="20"/>
              </w:rPr>
              <w:t>Traditional Owner partner, Kimberley region</w:t>
            </w:r>
          </w:p>
        </w:tc>
        <w:tc>
          <w:tcPr>
            <w:tcW w:w="3600" w:type="dxa"/>
            <w:tcMar>
              <w:top w:w="80" w:type="dxa"/>
              <w:left w:w="110" w:type="dxa"/>
              <w:bottom w:w="80" w:type="dxa"/>
              <w:right w:w="110" w:type="dxa"/>
            </w:tcMar>
            <w:vAlign w:val="center"/>
          </w:tcPr>
          <w:p w14:paraId="01C0BBCD" w14:textId="77777777" w:rsidR="00E95035" w:rsidRDefault="00E95035" w:rsidP="00E95035">
            <w:r>
              <w:rPr>
                <w:color w:val="000000"/>
                <w:sz w:val="20"/>
                <w:szCs w:val="20"/>
              </w:rPr>
              <w:t>Non-binding MOU executed (3-year term); sets out a collaboration framework only — KLC expressly retains the right to pursue other aquaculture opportunities, including with NASC's competitors</w:t>
            </w:r>
          </w:p>
        </w:tc>
      </w:tr>
      <w:tr w:rsidR="00E95035" w14:paraId="0509DF59" w14:textId="77777777">
        <w:tc>
          <w:tcPr>
            <w:tcW w:w="2350" w:type="dxa"/>
            <w:shd w:val="clear" w:color="auto" w:fill="F2F2F2"/>
            <w:tcMar>
              <w:top w:w="80" w:type="dxa"/>
              <w:left w:w="110" w:type="dxa"/>
              <w:bottom w:w="80" w:type="dxa"/>
              <w:right w:w="110" w:type="dxa"/>
            </w:tcMar>
            <w:vAlign w:val="center"/>
          </w:tcPr>
          <w:p w14:paraId="1CF59A0A" w14:textId="77777777" w:rsidR="00E95035" w:rsidRDefault="00E95035" w:rsidP="00E95035">
            <w:r>
              <w:rPr>
                <w:color w:val="000000"/>
                <w:sz w:val="20"/>
                <w:szCs w:val="20"/>
              </w:rPr>
              <w:t>Developing East Arnhem Limited (DEAL)</w:t>
            </w:r>
          </w:p>
        </w:tc>
        <w:tc>
          <w:tcPr>
            <w:tcW w:w="3400" w:type="dxa"/>
            <w:shd w:val="clear" w:color="auto" w:fill="F2F2F2"/>
            <w:tcMar>
              <w:top w:w="80" w:type="dxa"/>
              <w:left w:w="110" w:type="dxa"/>
              <w:bottom w:w="80" w:type="dxa"/>
              <w:right w:w="110" w:type="dxa"/>
            </w:tcMar>
            <w:vAlign w:val="center"/>
          </w:tcPr>
          <w:p w14:paraId="152326D6" w14:textId="77777777" w:rsidR="00E95035" w:rsidRDefault="00E95035" w:rsidP="00E95035">
            <w:r>
              <w:rPr>
                <w:color w:val="000000"/>
                <w:sz w:val="20"/>
                <w:szCs w:val="20"/>
              </w:rPr>
              <w:t>Regional/Traditional Owner economic development body, East Arnhem</w:t>
            </w:r>
          </w:p>
        </w:tc>
        <w:tc>
          <w:tcPr>
            <w:tcW w:w="3600" w:type="dxa"/>
            <w:shd w:val="clear" w:color="auto" w:fill="F2F2F2"/>
            <w:tcMar>
              <w:top w:w="80" w:type="dxa"/>
              <w:left w:w="110" w:type="dxa"/>
              <w:bottom w:w="80" w:type="dxa"/>
              <w:right w:w="110" w:type="dxa"/>
            </w:tcMar>
            <w:vAlign w:val="center"/>
          </w:tcPr>
          <w:p w14:paraId="009591E0" w14:textId="77777777" w:rsidR="00E95035" w:rsidRDefault="00E95035" w:rsidP="00E95035">
            <w:r>
              <w:rPr>
                <w:color w:val="000000"/>
                <w:sz w:val="20"/>
                <w:szCs w:val="20"/>
              </w:rPr>
              <w:t>Letter of support (non-commercial)</w:t>
            </w:r>
          </w:p>
        </w:tc>
      </w:tr>
      <w:tr w:rsidR="00E95035" w14:paraId="100B99C3" w14:textId="77777777">
        <w:tc>
          <w:tcPr>
            <w:tcW w:w="2350" w:type="dxa"/>
            <w:tcMar>
              <w:top w:w="80" w:type="dxa"/>
              <w:left w:w="110" w:type="dxa"/>
              <w:bottom w:w="80" w:type="dxa"/>
              <w:right w:w="110" w:type="dxa"/>
            </w:tcMar>
            <w:vAlign w:val="center"/>
          </w:tcPr>
          <w:p w14:paraId="66CA09CF" w14:textId="77777777" w:rsidR="00E95035" w:rsidRDefault="00E95035" w:rsidP="00E95035">
            <w:r>
              <w:rPr>
                <w:color w:val="000000"/>
                <w:sz w:val="20"/>
                <w:szCs w:val="20"/>
              </w:rPr>
              <w:t>Darwin Waterfront Corporation</w:t>
            </w:r>
          </w:p>
        </w:tc>
        <w:tc>
          <w:tcPr>
            <w:tcW w:w="3400" w:type="dxa"/>
            <w:tcMar>
              <w:top w:w="80" w:type="dxa"/>
              <w:left w:w="110" w:type="dxa"/>
              <w:bottom w:w="80" w:type="dxa"/>
              <w:right w:w="110" w:type="dxa"/>
            </w:tcMar>
            <w:vAlign w:val="center"/>
          </w:tcPr>
          <w:p w14:paraId="6FE7438B" w14:textId="77777777" w:rsidR="00E95035" w:rsidRDefault="00E95035" w:rsidP="00E95035">
            <w:r>
              <w:rPr>
                <w:color w:val="000000"/>
                <w:sz w:val="20"/>
                <w:szCs w:val="20"/>
              </w:rPr>
              <w:t>First operational R&amp;D site (lagoon growth trials)</w:t>
            </w:r>
          </w:p>
        </w:tc>
        <w:tc>
          <w:tcPr>
            <w:tcW w:w="3600" w:type="dxa"/>
            <w:tcMar>
              <w:top w:w="80" w:type="dxa"/>
              <w:left w:w="110" w:type="dxa"/>
              <w:bottom w:w="80" w:type="dxa"/>
              <w:right w:w="110" w:type="dxa"/>
            </w:tcMar>
            <w:vAlign w:val="center"/>
          </w:tcPr>
          <w:p w14:paraId="16171EF7" w14:textId="77777777" w:rsidR="00E95035" w:rsidRDefault="00E95035" w:rsidP="00E95035">
            <w:r>
              <w:rPr>
                <w:color w:val="000000"/>
                <w:sz w:val="20"/>
                <w:szCs w:val="20"/>
              </w:rPr>
              <w:t>Approved and operating — the Company's most concrete site-level proof point to date</w:t>
            </w:r>
          </w:p>
        </w:tc>
      </w:tr>
      <w:tr w:rsidR="00E95035" w14:paraId="6E4946FE" w14:textId="77777777">
        <w:tc>
          <w:tcPr>
            <w:tcW w:w="2350" w:type="dxa"/>
            <w:shd w:val="clear" w:color="auto" w:fill="F2F2F2"/>
            <w:tcMar>
              <w:top w:w="80" w:type="dxa"/>
              <w:left w:w="110" w:type="dxa"/>
              <w:bottom w:w="80" w:type="dxa"/>
              <w:right w:w="110" w:type="dxa"/>
            </w:tcMar>
            <w:vAlign w:val="center"/>
          </w:tcPr>
          <w:p w14:paraId="281691E0" w14:textId="77777777" w:rsidR="00E95035" w:rsidRDefault="00E95035" w:rsidP="00E95035">
            <w:r>
              <w:rPr>
                <w:color w:val="000000"/>
                <w:sz w:val="20"/>
                <w:szCs w:val="20"/>
              </w:rPr>
              <w:t>University of Western Australia (UWA)</w:t>
            </w:r>
          </w:p>
        </w:tc>
        <w:tc>
          <w:tcPr>
            <w:tcW w:w="3400" w:type="dxa"/>
            <w:shd w:val="clear" w:color="auto" w:fill="F2F2F2"/>
            <w:tcMar>
              <w:top w:w="80" w:type="dxa"/>
              <w:left w:w="110" w:type="dxa"/>
              <w:bottom w:w="80" w:type="dxa"/>
              <w:right w:w="110" w:type="dxa"/>
            </w:tcMar>
            <w:vAlign w:val="center"/>
          </w:tcPr>
          <w:p w14:paraId="04E71585" w14:textId="77777777" w:rsidR="00E95035" w:rsidRDefault="00E95035" w:rsidP="00E95035">
            <w:r>
              <w:rPr>
                <w:color w:val="000000"/>
                <w:sz w:val="20"/>
                <w:szCs w:val="20"/>
              </w:rPr>
              <w:t>R&amp;D base; source of core process IP</w:t>
            </w:r>
          </w:p>
        </w:tc>
        <w:tc>
          <w:tcPr>
            <w:tcW w:w="3600" w:type="dxa"/>
            <w:shd w:val="clear" w:color="auto" w:fill="F2F2F2"/>
            <w:tcMar>
              <w:top w:w="80" w:type="dxa"/>
              <w:left w:w="110" w:type="dxa"/>
              <w:bottom w:w="80" w:type="dxa"/>
              <w:right w:w="110" w:type="dxa"/>
            </w:tcMar>
            <w:vAlign w:val="center"/>
          </w:tcPr>
          <w:p w14:paraId="30314C4F" w14:textId="77777777" w:rsidR="00E95035" w:rsidRDefault="00E95035" w:rsidP="00E95035">
            <w:r>
              <w:rPr>
                <w:color w:val="000000"/>
                <w:sz w:val="20"/>
                <w:szCs w:val="20"/>
              </w:rPr>
              <w:t>Ongoing; written IP confirmation outstanding (see Sections 4.3, 9 and 10)</w:t>
            </w:r>
          </w:p>
        </w:tc>
      </w:tr>
      <w:tr w:rsidR="00E95035" w14:paraId="03B9100F" w14:textId="77777777">
        <w:tc>
          <w:tcPr>
            <w:tcW w:w="2350" w:type="dxa"/>
            <w:tcMar>
              <w:top w:w="80" w:type="dxa"/>
              <w:left w:w="110" w:type="dxa"/>
              <w:bottom w:w="80" w:type="dxa"/>
              <w:right w:w="110" w:type="dxa"/>
            </w:tcMar>
            <w:vAlign w:val="center"/>
          </w:tcPr>
          <w:p w14:paraId="0C356561" w14:textId="77777777" w:rsidR="00E95035" w:rsidRDefault="00E95035" w:rsidP="00E95035">
            <w:r>
              <w:rPr>
                <w:color w:val="000000"/>
                <w:sz w:val="20"/>
                <w:szCs w:val="20"/>
              </w:rPr>
              <w:t>Charles Darwin University (CDU)</w:t>
            </w:r>
          </w:p>
        </w:tc>
        <w:tc>
          <w:tcPr>
            <w:tcW w:w="3400" w:type="dxa"/>
            <w:tcMar>
              <w:top w:w="80" w:type="dxa"/>
              <w:left w:w="110" w:type="dxa"/>
              <w:bottom w:w="80" w:type="dxa"/>
              <w:right w:w="110" w:type="dxa"/>
            </w:tcMar>
            <w:vAlign w:val="center"/>
          </w:tcPr>
          <w:p w14:paraId="777EEB50" w14:textId="77777777" w:rsidR="00E95035" w:rsidRDefault="00E95035" w:rsidP="00E95035">
            <w:r>
              <w:rPr>
                <w:color w:val="000000"/>
                <w:sz w:val="20"/>
                <w:szCs w:val="20"/>
              </w:rPr>
              <w:t>PhD collaboration; access to Darwin-based pot-trial facilities</w:t>
            </w:r>
          </w:p>
        </w:tc>
        <w:tc>
          <w:tcPr>
            <w:tcW w:w="3600" w:type="dxa"/>
            <w:tcMar>
              <w:top w:w="80" w:type="dxa"/>
              <w:left w:w="110" w:type="dxa"/>
              <w:bottom w:w="80" w:type="dxa"/>
              <w:right w:w="110" w:type="dxa"/>
            </w:tcMar>
            <w:vAlign w:val="center"/>
          </w:tcPr>
          <w:p w14:paraId="5B165B4A" w14:textId="0F10B633" w:rsidR="00E95035" w:rsidRDefault="00522358" w:rsidP="00E95035">
            <w:r>
              <w:rPr>
                <w:color w:val="000000"/>
                <w:sz w:val="20"/>
                <w:szCs w:val="20"/>
              </w:rPr>
              <w:t>Still being established</w:t>
            </w:r>
          </w:p>
        </w:tc>
      </w:tr>
      <w:tr w:rsidR="00E95035" w14:paraId="69DACA0B" w14:textId="77777777">
        <w:tc>
          <w:tcPr>
            <w:tcW w:w="2350" w:type="dxa"/>
            <w:shd w:val="clear" w:color="auto" w:fill="F2F2F2"/>
            <w:tcMar>
              <w:top w:w="80" w:type="dxa"/>
              <w:left w:w="110" w:type="dxa"/>
              <w:bottom w:w="80" w:type="dxa"/>
              <w:right w:w="110" w:type="dxa"/>
            </w:tcMar>
            <w:vAlign w:val="center"/>
          </w:tcPr>
          <w:p w14:paraId="6DA9D1AF" w14:textId="77777777" w:rsidR="00E95035" w:rsidRDefault="00E95035" w:rsidP="00E95035">
            <w:r>
              <w:rPr>
                <w:color w:val="000000"/>
                <w:sz w:val="20"/>
                <w:szCs w:val="20"/>
              </w:rPr>
              <w:t>WAMSI / WABSI</w:t>
            </w:r>
          </w:p>
        </w:tc>
        <w:tc>
          <w:tcPr>
            <w:tcW w:w="3400" w:type="dxa"/>
            <w:shd w:val="clear" w:color="auto" w:fill="F2F2F2"/>
            <w:tcMar>
              <w:top w:w="80" w:type="dxa"/>
              <w:left w:w="110" w:type="dxa"/>
              <w:bottom w:w="80" w:type="dxa"/>
              <w:right w:w="110" w:type="dxa"/>
            </w:tcMar>
            <w:vAlign w:val="center"/>
          </w:tcPr>
          <w:p w14:paraId="26DE164B" w14:textId="4BC13327" w:rsidR="00E95035" w:rsidRDefault="00E95035" w:rsidP="00E95035">
            <w:r>
              <w:rPr>
                <w:color w:val="000000"/>
                <w:sz w:val="20"/>
                <w:szCs w:val="20"/>
              </w:rPr>
              <w:t xml:space="preserve">WA marine </w:t>
            </w:r>
            <w:r w:rsidR="006E496A">
              <w:rPr>
                <w:color w:val="000000"/>
                <w:sz w:val="20"/>
                <w:szCs w:val="20"/>
              </w:rPr>
              <w:t xml:space="preserve">&amp; biodiversity </w:t>
            </w:r>
            <w:r>
              <w:rPr>
                <w:color w:val="000000"/>
                <w:sz w:val="20"/>
                <w:szCs w:val="20"/>
              </w:rPr>
              <w:t>science institute</w:t>
            </w:r>
            <w:r w:rsidR="006E496A">
              <w:rPr>
                <w:color w:val="000000"/>
                <w:sz w:val="20"/>
                <w:szCs w:val="20"/>
              </w:rPr>
              <w:t>s</w:t>
            </w:r>
          </w:p>
        </w:tc>
        <w:tc>
          <w:tcPr>
            <w:tcW w:w="3600" w:type="dxa"/>
            <w:shd w:val="clear" w:color="auto" w:fill="F2F2F2"/>
            <w:tcMar>
              <w:top w:w="80" w:type="dxa"/>
              <w:left w:w="110" w:type="dxa"/>
              <w:bottom w:w="80" w:type="dxa"/>
              <w:right w:w="110" w:type="dxa"/>
            </w:tcMar>
            <w:vAlign w:val="center"/>
          </w:tcPr>
          <w:p w14:paraId="310A0E7E" w14:textId="77777777" w:rsidR="00E95035" w:rsidRDefault="00E95035" w:rsidP="00E95035">
            <w:r>
              <w:rPr>
                <w:color w:val="000000"/>
                <w:sz w:val="20"/>
                <w:szCs w:val="20"/>
              </w:rPr>
              <w:t>Letters of support (scientific credibility; non-commercial)</w:t>
            </w:r>
          </w:p>
        </w:tc>
      </w:tr>
      <w:tr w:rsidR="00E95035" w14:paraId="32FAA2AE" w14:textId="77777777">
        <w:tc>
          <w:tcPr>
            <w:tcW w:w="2350" w:type="dxa"/>
            <w:tcMar>
              <w:top w:w="80" w:type="dxa"/>
              <w:left w:w="110" w:type="dxa"/>
              <w:bottom w:w="80" w:type="dxa"/>
              <w:right w:w="110" w:type="dxa"/>
            </w:tcMar>
            <w:vAlign w:val="center"/>
          </w:tcPr>
          <w:p w14:paraId="0985F2C6" w14:textId="77777777" w:rsidR="00E95035" w:rsidRDefault="00E95035" w:rsidP="00E95035">
            <w:r>
              <w:rPr>
                <w:color w:val="000000"/>
                <w:sz w:val="20"/>
                <w:szCs w:val="20"/>
              </w:rPr>
              <w:lastRenderedPageBreak/>
              <w:t>Ocean Hex Pty Ltd</w:t>
            </w:r>
          </w:p>
        </w:tc>
        <w:tc>
          <w:tcPr>
            <w:tcW w:w="3400" w:type="dxa"/>
            <w:tcMar>
              <w:top w:w="80" w:type="dxa"/>
              <w:left w:w="110" w:type="dxa"/>
              <w:bottom w:w="80" w:type="dxa"/>
              <w:right w:w="110" w:type="dxa"/>
            </w:tcMar>
            <w:vAlign w:val="center"/>
          </w:tcPr>
          <w:p w14:paraId="72BF432F" w14:textId="77777777" w:rsidR="00E95035" w:rsidRDefault="00E95035" w:rsidP="00E95035">
            <w:r>
              <w:rPr>
                <w:color w:val="000000"/>
                <w:sz w:val="20"/>
                <w:szCs w:val="20"/>
              </w:rPr>
              <w:t>Aquaculture growth-medium/nursery technology</w:t>
            </w:r>
          </w:p>
        </w:tc>
        <w:tc>
          <w:tcPr>
            <w:tcW w:w="3600" w:type="dxa"/>
            <w:tcMar>
              <w:top w:w="80" w:type="dxa"/>
              <w:left w:w="110" w:type="dxa"/>
              <w:bottom w:w="80" w:type="dxa"/>
              <w:right w:w="110" w:type="dxa"/>
            </w:tcMar>
            <w:vAlign w:val="center"/>
          </w:tcPr>
          <w:p w14:paraId="2E815730" w14:textId="77777777" w:rsidR="00E95035" w:rsidRDefault="00E95035" w:rsidP="00E95035">
            <w:r>
              <w:rPr>
                <w:color w:val="000000"/>
                <w:sz w:val="20"/>
                <w:szCs w:val="20"/>
              </w:rPr>
              <w:t>Non-binding MOU</w:t>
            </w:r>
          </w:p>
        </w:tc>
      </w:tr>
      <w:tr w:rsidR="00E95035" w14:paraId="6E143DF3" w14:textId="77777777">
        <w:tc>
          <w:tcPr>
            <w:tcW w:w="2350" w:type="dxa"/>
            <w:shd w:val="clear" w:color="auto" w:fill="F2F2F2"/>
            <w:tcMar>
              <w:top w:w="80" w:type="dxa"/>
              <w:left w:w="110" w:type="dxa"/>
              <w:bottom w:w="80" w:type="dxa"/>
              <w:right w:w="110" w:type="dxa"/>
            </w:tcMar>
            <w:vAlign w:val="center"/>
          </w:tcPr>
          <w:p w14:paraId="543FC9AC" w14:textId="77777777" w:rsidR="00E95035" w:rsidRDefault="00E95035" w:rsidP="00E95035">
            <w:r>
              <w:rPr>
                <w:color w:val="000000"/>
                <w:sz w:val="20"/>
                <w:szCs w:val="20"/>
              </w:rPr>
              <w:t>Undana (Indonesia, via FPKP)</w:t>
            </w:r>
          </w:p>
        </w:tc>
        <w:tc>
          <w:tcPr>
            <w:tcW w:w="3400" w:type="dxa"/>
            <w:shd w:val="clear" w:color="auto" w:fill="F2F2F2"/>
            <w:tcMar>
              <w:top w:w="80" w:type="dxa"/>
              <w:left w:w="110" w:type="dxa"/>
              <w:bottom w:w="80" w:type="dxa"/>
              <w:right w:w="110" w:type="dxa"/>
            </w:tcMar>
            <w:vAlign w:val="center"/>
          </w:tcPr>
          <w:p w14:paraId="2E28AADF" w14:textId="77777777" w:rsidR="00E95035" w:rsidRDefault="00E95035" w:rsidP="00E95035">
            <w:r>
              <w:rPr>
                <w:color w:val="000000"/>
                <w:sz w:val="20"/>
                <w:szCs w:val="20"/>
              </w:rPr>
              <w:t>Academic/industry partner, Indonesia</w:t>
            </w:r>
          </w:p>
        </w:tc>
        <w:tc>
          <w:tcPr>
            <w:tcW w:w="3600" w:type="dxa"/>
            <w:shd w:val="clear" w:color="auto" w:fill="F2F2F2"/>
            <w:tcMar>
              <w:top w:w="80" w:type="dxa"/>
              <w:left w:w="110" w:type="dxa"/>
              <w:bottom w:w="80" w:type="dxa"/>
              <w:right w:w="110" w:type="dxa"/>
            </w:tcMar>
            <w:vAlign w:val="center"/>
          </w:tcPr>
          <w:p w14:paraId="692FE940" w14:textId="77777777" w:rsidR="00E95035" w:rsidRDefault="00E95035" w:rsidP="00E95035">
            <w:r>
              <w:rPr>
                <w:color w:val="000000"/>
                <w:sz w:val="20"/>
                <w:szCs w:val="20"/>
              </w:rPr>
              <w:t>Signed 5-year Memorandum of Agreement</w:t>
            </w:r>
          </w:p>
        </w:tc>
      </w:tr>
      <w:tr w:rsidR="00E95035" w14:paraId="503D28C8" w14:textId="77777777">
        <w:tc>
          <w:tcPr>
            <w:tcW w:w="2350" w:type="dxa"/>
            <w:tcMar>
              <w:top w:w="80" w:type="dxa"/>
              <w:left w:w="110" w:type="dxa"/>
              <w:bottom w:w="80" w:type="dxa"/>
              <w:right w:w="110" w:type="dxa"/>
            </w:tcMar>
            <w:vAlign w:val="center"/>
          </w:tcPr>
          <w:p w14:paraId="19997D3B" w14:textId="77777777" w:rsidR="00E95035" w:rsidRDefault="00E95035" w:rsidP="00E95035">
            <w:r>
              <w:rPr>
                <w:color w:val="000000"/>
                <w:sz w:val="20"/>
                <w:szCs w:val="20"/>
              </w:rPr>
              <w:t>BRIN (Indonesia)</w:t>
            </w:r>
          </w:p>
        </w:tc>
        <w:tc>
          <w:tcPr>
            <w:tcW w:w="3400" w:type="dxa"/>
            <w:tcMar>
              <w:top w:w="80" w:type="dxa"/>
              <w:left w:w="110" w:type="dxa"/>
              <w:bottom w:w="80" w:type="dxa"/>
              <w:right w:w="110" w:type="dxa"/>
            </w:tcMar>
            <w:vAlign w:val="center"/>
          </w:tcPr>
          <w:p w14:paraId="3065EDC4" w14:textId="77777777" w:rsidR="00E95035" w:rsidRDefault="00E95035" w:rsidP="00E95035">
            <w:r>
              <w:rPr>
                <w:color w:val="000000"/>
                <w:sz w:val="20"/>
                <w:szCs w:val="20"/>
              </w:rPr>
              <w:t>Research partner</w:t>
            </w:r>
          </w:p>
        </w:tc>
        <w:tc>
          <w:tcPr>
            <w:tcW w:w="3600" w:type="dxa"/>
            <w:tcMar>
              <w:top w:w="80" w:type="dxa"/>
              <w:left w:w="110" w:type="dxa"/>
              <w:bottom w:w="80" w:type="dxa"/>
              <w:right w:w="110" w:type="dxa"/>
            </w:tcMar>
            <w:vAlign w:val="center"/>
          </w:tcPr>
          <w:p w14:paraId="515F4DEC" w14:textId="77777777" w:rsidR="00E95035" w:rsidRDefault="00E95035" w:rsidP="00E95035">
            <w:r>
              <w:rPr>
                <w:color w:val="000000"/>
                <w:sz w:val="20"/>
                <w:szCs w:val="20"/>
              </w:rPr>
              <w:t>Signed letter of intent</w:t>
            </w:r>
          </w:p>
        </w:tc>
      </w:tr>
      <w:tr w:rsidR="00E95035" w14:paraId="335C9D56" w14:textId="77777777">
        <w:tc>
          <w:tcPr>
            <w:tcW w:w="2350" w:type="dxa"/>
            <w:shd w:val="clear" w:color="auto" w:fill="F2F2F2"/>
            <w:tcMar>
              <w:top w:w="80" w:type="dxa"/>
              <w:left w:w="110" w:type="dxa"/>
              <w:bottom w:w="80" w:type="dxa"/>
              <w:right w:w="110" w:type="dxa"/>
            </w:tcMar>
            <w:vAlign w:val="center"/>
          </w:tcPr>
          <w:p w14:paraId="55525686" w14:textId="15679B0E" w:rsidR="00E95035" w:rsidRDefault="005819EA" w:rsidP="00E95035">
            <w:r>
              <w:t>Venture UWA</w:t>
            </w:r>
          </w:p>
        </w:tc>
        <w:tc>
          <w:tcPr>
            <w:tcW w:w="3400" w:type="dxa"/>
            <w:shd w:val="clear" w:color="auto" w:fill="F2F2F2"/>
            <w:tcMar>
              <w:top w:w="80" w:type="dxa"/>
              <w:left w:w="110" w:type="dxa"/>
              <w:bottom w:w="80" w:type="dxa"/>
              <w:right w:w="110" w:type="dxa"/>
            </w:tcMar>
            <w:vAlign w:val="center"/>
          </w:tcPr>
          <w:p w14:paraId="52CE32A9" w14:textId="70947018" w:rsidR="00E95035" w:rsidRDefault="005819EA" w:rsidP="00E95035">
            <w:r>
              <w:t>Accelerator Program Partner</w:t>
            </w:r>
          </w:p>
        </w:tc>
        <w:tc>
          <w:tcPr>
            <w:tcW w:w="3600" w:type="dxa"/>
            <w:shd w:val="clear" w:color="auto" w:fill="F2F2F2"/>
            <w:tcMar>
              <w:top w:w="80" w:type="dxa"/>
              <w:left w:w="110" w:type="dxa"/>
              <w:bottom w:w="80" w:type="dxa"/>
              <w:right w:w="110" w:type="dxa"/>
            </w:tcMar>
            <w:vAlign w:val="center"/>
          </w:tcPr>
          <w:p w14:paraId="4B7A7162" w14:textId="459EA12F" w:rsidR="00E95035" w:rsidRDefault="005819EA" w:rsidP="00E95035">
            <w:r>
              <w:t>Signed grant &amp; program agreements</w:t>
            </w:r>
          </w:p>
        </w:tc>
      </w:tr>
    </w:tbl>
    <w:p w14:paraId="030CB2D4" w14:textId="77777777" w:rsidR="00EE7390" w:rsidRDefault="00EE7390">
      <w:pPr>
        <w:spacing w:after="100"/>
      </w:pPr>
    </w:p>
    <w:p w14:paraId="1935268A" w14:textId="77777777" w:rsidR="00EE7390" w:rsidRDefault="0056086B">
      <w:pPr>
        <w:spacing w:after="160"/>
        <w:jc w:val="both"/>
      </w:pPr>
      <w:r>
        <w:rPr>
          <w:color w:val="000000"/>
        </w:rPr>
        <w:t>Taken together, this is a genuinely broad set of relationships for a company at this stage, and reflects real effort to build regional and institutional legitimacy. However, almost all of it sits in the non-binding-MOU, letter-of-support, or informal-discussion category. The single most consequential gap — flagged by the Company's own investor as well as in our own review — is the absence of any signed commercial commitment, letter of support, or expression of interest from a named mining customer. Converti</w:t>
      </w:r>
      <w:r>
        <w:rPr>
          <w:color w:val="000000"/>
        </w:rPr>
        <w:t>ng even one of the Rio Tinto, BHP or South32 relationships into a signed pilot or trial agreement would, in our assessment, be the single highest-value proof point the Company could deliver before this round completes.</w:t>
      </w:r>
    </w:p>
    <w:p w14:paraId="27144677" w14:textId="77777777" w:rsidR="00EE7390" w:rsidRDefault="0056086B">
      <w:pPr>
        <w:pStyle w:val="Heading1"/>
        <w:pBdr>
          <w:bottom w:val="single" w:sz="8" w:space="4" w:color="1F3864"/>
        </w:pBdr>
        <w:spacing w:before="400" w:after="160"/>
      </w:pPr>
      <w:r>
        <w:rPr>
          <w:b/>
          <w:bCs/>
          <w:color w:val="1F3864"/>
          <w:sz w:val="27"/>
          <w:szCs w:val="27"/>
        </w:rPr>
        <w:t>12. Northern Territory Alignment &amp; Community Impact</w:t>
      </w:r>
    </w:p>
    <w:p w14:paraId="628EBB4E" w14:textId="77777777" w:rsidR="00EE7390" w:rsidRDefault="0056086B">
      <w:pPr>
        <w:pStyle w:val="Heading2"/>
        <w:spacing w:before="260" w:after="120"/>
      </w:pPr>
      <w:r>
        <w:rPr>
          <w:b/>
          <w:bCs/>
          <w:color w:val="44546A"/>
          <w:sz w:val="23"/>
          <w:szCs w:val="23"/>
        </w:rPr>
        <w:t>12.1 Strategic alignment with NT economic priorities</w:t>
      </w:r>
    </w:p>
    <w:p w14:paraId="18B493ED" w14:textId="431D737E" w:rsidR="00EE7390" w:rsidRDefault="0056086B">
      <w:pPr>
        <w:spacing w:after="160"/>
        <w:jc w:val="both"/>
      </w:pPr>
      <w:r>
        <w:rPr>
          <w:color w:val="000000"/>
        </w:rPr>
        <w:t>NASC's core thesis — replacing an imported, synthetic input with a locally grown and processed one, at the point where a long-lived environmental and fiscal liability (mine closure) needs to be discharged</w:t>
      </w:r>
      <w:r w:rsidR="00E1722D">
        <w:rPr>
          <w:color w:val="000000"/>
        </w:rPr>
        <w:t>,</w:t>
      </w:r>
      <w:r>
        <w:rPr>
          <w:color w:val="000000"/>
        </w:rPr>
        <w:t xml:space="preserve"> maps directly onto stated NT and Commonwealth priorities around regional economic diversification, reducing reliance on a small number of extractive employers, and building northern Australian industry capability. The founder's own framing — an alternative to “extractive industries with finite lifespans” — is a deliberate echo of this policy narrative, and is consistent with the Company's decision to relocate its registered office to the NT as a condition of its existing investor's SAFE.</w:t>
      </w:r>
    </w:p>
    <w:p w14:paraId="629BB6D9" w14:textId="77777777" w:rsidR="00EE7390" w:rsidRDefault="0056086B">
      <w:pPr>
        <w:pStyle w:val="Heading2"/>
        <w:spacing w:before="260" w:after="120"/>
      </w:pPr>
      <w:r>
        <w:rPr>
          <w:b/>
          <w:bCs/>
          <w:color w:val="44546A"/>
          <w:sz w:val="23"/>
          <w:szCs w:val="23"/>
        </w:rPr>
        <w:t>12.2 Employment and workforce development</w:t>
      </w:r>
    </w:p>
    <w:p w14:paraId="65E199DD" w14:textId="259437CE" w:rsidR="00EE7390" w:rsidRDefault="0056086B">
      <w:pPr>
        <w:spacing w:after="160"/>
        <w:jc w:val="both"/>
      </w:pPr>
      <w:r>
        <w:rPr>
          <w:color w:val="000000"/>
        </w:rPr>
        <w:t xml:space="preserve">The Company's own hiring plan </w:t>
      </w:r>
      <w:r w:rsidR="00E1722D">
        <w:rPr>
          <w:color w:val="000000"/>
        </w:rPr>
        <w:t>focusing on</w:t>
      </w:r>
      <w:r>
        <w:rPr>
          <w:color w:val="000000"/>
        </w:rPr>
        <w:t xml:space="preserve"> its immediate priority hires are an NT-based Project Manager and a Community Engagement Lead, with each operational site subsequently expected to require a project manager plus c. three site operators (the Company's stated intention is to draw these preferentially from its own internship pipeline, described below). </w:t>
      </w:r>
    </w:p>
    <w:p w14:paraId="1AD8AE2C" w14:textId="77777777" w:rsidR="00EE7390" w:rsidRDefault="0056086B">
      <w:pPr>
        <w:spacing w:after="160"/>
        <w:jc w:val="both"/>
      </w:pPr>
      <w:r>
        <w:rPr>
          <w:color w:val="000000"/>
        </w:rPr>
        <w:t>The Company has also outlined a longer-horizon workforce-development program: a school-based STEM outreach program (one-day sessions linking seaweed cultivation and processing concepts to the school curriculum) and, from c. 2028 once sites are established, a paid internship program (initially envisaged at up to three secondary students per intake, expanding to a 4-week paid placement model as sites reach commercial scale), with a stated preference for hiring successful interns into ongoing roles or supporti</w:t>
      </w:r>
      <w:r>
        <w:rPr>
          <w:color w:val="000000"/>
        </w:rPr>
        <w:t>ng them into further study or apprenticeship. The founder has connected this directly to her own experience — the absence of a chemical engineering pathway via Charles Darwin University when she left secondary school — as a personal motivation for the program. This is a credible and specific plan, but it is a multi-year build with no participants enrolled yet, and its cost and delivery model have not been separately budgeted in the materials we reviewed.</w:t>
      </w:r>
    </w:p>
    <w:p w14:paraId="059E7D45" w14:textId="77777777" w:rsidR="00EE7390" w:rsidRDefault="0056086B">
      <w:pPr>
        <w:pStyle w:val="Heading2"/>
        <w:spacing w:before="260" w:after="120"/>
      </w:pPr>
      <w:r>
        <w:rPr>
          <w:b/>
          <w:bCs/>
          <w:color w:val="44546A"/>
          <w:sz w:val="23"/>
          <w:szCs w:val="23"/>
        </w:rPr>
        <w:t>12.3 Traditional Owner and Indigenous community partnerships</w:t>
      </w:r>
    </w:p>
    <w:p w14:paraId="2C3864C8" w14:textId="759571BD" w:rsidR="00EE7390" w:rsidRDefault="0056086B">
      <w:pPr>
        <w:spacing w:after="160"/>
        <w:jc w:val="both"/>
      </w:pPr>
      <w:r>
        <w:rPr>
          <w:color w:val="000000"/>
        </w:rPr>
        <w:t>The Company's most developed Traditional Owner relationship is its non-binding Memorandum of Understanding with the Kimberley Land Council Aboriginal Corporation (KLC), the peak Indigenous body for native title, land and sea management in the Kimberley. Under the MOU, KLC's role is to provide technical expertise and access to land/sea management networks, philanthropic funding introductions, policy and law-reform advocacy relevant to Indigenous ownership of natural-capital outcomes, and governance/PBC (Pres</w:t>
      </w:r>
      <w:r>
        <w:rPr>
          <w:color w:val="000000"/>
        </w:rPr>
        <w:t xml:space="preserve">cribed Body Corporate) engagement expertise; NASC's role is to lead operational delivery, site identification, R&amp;D coordination and </w:t>
      </w:r>
      <w:r>
        <w:rPr>
          <w:color w:val="000000"/>
        </w:rPr>
        <w:lastRenderedPageBreak/>
        <w:t>commercial/customer engagement. The MOU is explicitly non-binding, runs for a three-year term, and expressly preserves KLC's right to pursue other aquaculture opportunities.</w:t>
      </w:r>
    </w:p>
    <w:p w14:paraId="0A7F26A6" w14:textId="77777777" w:rsidR="00EE7390" w:rsidRDefault="0056086B">
      <w:pPr>
        <w:spacing w:after="160"/>
        <w:jc w:val="both"/>
      </w:pPr>
      <w:r>
        <w:rPr>
          <w:color w:val="000000"/>
        </w:rPr>
        <w:t>In the Northern Territory specifically, the Company holds a letter of support (not a binding agreement) from Developing East Arnhem Limited (DEAL), an independent not-for-profit that facilitates partnerships between Traditional Owners, government and business in the East Arnhem region — the region that includes Gove/Nhulunbuy, the Company's priority mining-site target. DEAL's letter frames the Company's work as making “a significant contribution to the economic future of East Arnhem Land.”</w:t>
      </w:r>
    </w:p>
    <w:p w14:paraId="03635D60" w14:textId="77777777" w:rsidR="00EE7390" w:rsidRDefault="0056086B">
      <w:pPr>
        <w:pStyle w:val="Heading2"/>
        <w:spacing w:before="260" w:after="120"/>
      </w:pPr>
      <w:r>
        <w:rPr>
          <w:b/>
          <w:bCs/>
          <w:color w:val="44546A"/>
          <w:sz w:val="23"/>
          <w:szCs w:val="23"/>
        </w:rPr>
        <w:t>12.4 Government and institutional alignment</w:t>
      </w:r>
    </w:p>
    <w:p w14:paraId="1601D47D" w14:textId="2AD22D53" w:rsidR="00EE7390" w:rsidRDefault="0056086B">
      <w:pPr>
        <w:spacing w:after="160"/>
        <w:jc w:val="both"/>
      </w:pPr>
      <w:r>
        <w:rPr>
          <w:color w:val="000000"/>
        </w:rPr>
        <w:t xml:space="preserve">Beyond the current fundraising discussion, the Company has already been the recipient of government-backed support: the Founders Factory “FF Nature Tech” accelerator programme through which NASC received its $50,000 cash grant and c. $150,000 in-kind programme is itself funded by the Government of Western Australia, and the Company has separately participated in </w:t>
      </w:r>
      <w:r w:rsidR="00232C5C">
        <w:rPr>
          <w:color w:val="000000"/>
        </w:rPr>
        <w:t xml:space="preserve">the </w:t>
      </w:r>
      <w:r>
        <w:rPr>
          <w:color w:val="000000"/>
        </w:rPr>
        <w:t>StartNT</w:t>
      </w:r>
      <w:r w:rsidR="00C64714">
        <w:rPr>
          <w:color w:val="000000"/>
        </w:rPr>
        <w:t xml:space="preserve"> Program which is linked to $50</w:t>
      </w:r>
      <w:r w:rsidR="001C73D9">
        <w:rPr>
          <w:color w:val="000000"/>
        </w:rPr>
        <w:t xml:space="preserve">,000 in support services to achieve commercial readiness </w:t>
      </w:r>
      <w:r>
        <w:rPr>
          <w:color w:val="000000"/>
        </w:rPr>
        <w:t>(data room, financial model, market validation work). Two of the Company's advisors — Steven Rowe and Katrina Fong Lim — hold, or have held, NT public-sector and civic governance roles (respectively, the NT Ministerial Digital Advisory Council/NT Research and Innovation Board, and Lord Mayor of Darwin), which may be relevant to the Company's ability to navigate NT regulatory and stakeholder processes, though the Committee should treat these as informal advisory relationships rather than governance guarantee</w:t>
      </w:r>
      <w:r>
        <w:rPr>
          <w:color w:val="000000"/>
        </w:rPr>
        <w:t>s.</w:t>
      </w:r>
    </w:p>
    <w:p w14:paraId="5F41841E" w14:textId="77777777" w:rsidR="00EE7390" w:rsidRDefault="0056086B">
      <w:pPr>
        <w:pStyle w:val="Heading2"/>
        <w:spacing w:before="260" w:after="120"/>
      </w:pPr>
      <w:r>
        <w:rPr>
          <w:b/>
          <w:bCs/>
          <w:color w:val="44546A"/>
          <w:sz w:val="23"/>
          <w:szCs w:val="23"/>
        </w:rPr>
        <w:t>12.5 Balanced assessment</w:t>
      </w:r>
    </w:p>
    <w:p w14:paraId="6F766264" w14:textId="381B33C8" w:rsidR="00EE7390" w:rsidRDefault="0056086B">
      <w:pPr>
        <w:spacing w:after="160"/>
        <w:jc w:val="both"/>
      </w:pPr>
      <w:r>
        <w:rPr>
          <w:color w:val="000000"/>
        </w:rPr>
        <w:t>In summary: NASC's Northern Territory and community narrative is substantive, specific, and well beyond the generic “we will create local jobs” framing common to early-stage pitches — there is a named regional development body (DEAL), a concrete first NT site (Darwin Waterfront), and quantified (if directional) employment and training plans. At the same time, essentially all of the Traditional Owner and community-facing commitments are non-binding. For an investor whose mandate specifically weights Northern</w:t>
      </w:r>
      <w:r>
        <w:rPr>
          <w:color w:val="000000"/>
        </w:rPr>
        <w:t xml:space="preserve"> Territory and Indigenous economic outcomes, we would treat the strength and enforceability of these arrangements — not just the commercial case — as a first-order diligence item, and would look for at least one of these relationships to be formalised (beyond a letter of support) as part of this round.</w:t>
      </w:r>
    </w:p>
    <w:p w14:paraId="2BA97AF5" w14:textId="77777777" w:rsidR="00EE7390" w:rsidRDefault="0056086B">
      <w:pPr>
        <w:pStyle w:val="Heading1"/>
        <w:pBdr>
          <w:bottom w:val="single" w:sz="8" w:space="4" w:color="1F3864"/>
        </w:pBdr>
        <w:spacing w:before="400" w:after="160"/>
      </w:pPr>
      <w:r>
        <w:rPr>
          <w:b/>
          <w:bCs/>
          <w:color w:val="1F3864"/>
          <w:sz w:val="27"/>
          <w:szCs w:val="27"/>
        </w:rPr>
        <w:t>13. Financial Summary</w:t>
      </w:r>
    </w:p>
    <w:p w14:paraId="1FDEE0BF" w14:textId="77777777" w:rsidR="00EE7390" w:rsidRDefault="0056086B">
      <w:pPr>
        <w:pStyle w:val="Heading2"/>
        <w:spacing w:before="260" w:after="120"/>
      </w:pPr>
      <w:r>
        <w:rPr>
          <w:b/>
          <w:bCs/>
          <w:color w:val="44546A"/>
          <w:sz w:val="23"/>
          <w:szCs w:val="23"/>
        </w:rPr>
        <w:t>13.1 Use of funds (current $1.35m raise target)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1750"/>
        <w:gridCol w:w="4400"/>
      </w:tblGrid>
      <w:tr w:rsidR="00EE7390" w14:paraId="1FF8DAB6" w14:textId="77777777">
        <w:trPr>
          <w:tblHeader/>
        </w:trPr>
        <w:tc>
          <w:tcPr>
            <w:tcW w:w="3200" w:type="dxa"/>
            <w:shd w:val="clear" w:color="auto" w:fill="1F3864"/>
            <w:tcMar>
              <w:top w:w="80" w:type="dxa"/>
              <w:left w:w="110" w:type="dxa"/>
              <w:bottom w:w="80" w:type="dxa"/>
              <w:right w:w="110" w:type="dxa"/>
            </w:tcMar>
            <w:vAlign w:val="center"/>
          </w:tcPr>
          <w:p w14:paraId="4460CDC3" w14:textId="77777777" w:rsidR="00EE7390" w:rsidRDefault="0056086B">
            <w:r>
              <w:rPr>
                <w:b/>
                <w:bCs/>
                <w:color w:val="FFFFFF"/>
                <w:sz w:val="20"/>
                <w:szCs w:val="20"/>
              </w:rPr>
              <w:t>Category</w:t>
            </w:r>
          </w:p>
        </w:tc>
        <w:tc>
          <w:tcPr>
            <w:tcW w:w="1750" w:type="dxa"/>
            <w:shd w:val="clear" w:color="auto" w:fill="1F3864"/>
            <w:tcMar>
              <w:top w:w="80" w:type="dxa"/>
              <w:left w:w="110" w:type="dxa"/>
              <w:bottom w:w="80" w:type="dxa"/>
              <w:right w:w="110" w:type="dxa"/>
            </w:tcMar>
            <w:vAlign w:val="center"/>
          </w:tcPr>
          <w:p w14:paraId="50C28B87" w14:textId="77777777" w:rsidR="00EE7390" w:rsidRDefault="0056086B">
            <w:r>
              <w:rPr>
                <w:b/>
                <w:bCs/>
                <w:color w:val="FFFFFF"/>
                <w:sz w:val="20"/>
                <w:szCs w:val="20"/>
              </w:rPr>
              <w:t>Amount</w:t>
            </w:r>
          </w:p>
        </w:tc>
        <w:tc>
          <w:tcPr>
            <w:tcW w:w="4400" w:type="dxa"/>
            <w:shd w:val="clear" w:color="auto" w:fill="1F3864"/>
            <w:tcMar>
              <w:top w:w="80" w:type="dxa"/>
              <w:left w:w="110" w:type="dxa"/>
              <w:bottom w:w="80" w:type="dxa"/>
              <w:right w:w="110" w:type="dxa"/>
            </w:tcMar>
            <w:vAlign w:val="center"/>
          </w:tcPr>
          <w:p w14:paraId="526FA424" w14:textId="77777777" w:rsidR="00EE7390" w:rsidRDefault="0056086B">
            <w:r>
              <w:rPr>
                <w:b/>
                <w:bCs/>
                <w:color w:val="FFFFFF"/>
                <w:sz w:val="20"/>
                <w:szCs w:val="20"/>
              </w:rPr>
              <w:t>Notes</w:t>
            </w:r>
          </w:p>
        </w:tc>
      </w:tr>
      <w:tr w:rsidR="00EE7390" w14:paraId="638C8BED" w14:textId="77777777">
        <w:tc>
          <w:tcPr>
            <w:tcW w:w="3200" w:type="dxa"/>
            <w:tcMar>
              <w:top w:w="80" w:type="dxa"/>
              <w:left w:w="110" w:type="dxa"/>
              <w:bottom w:w="80" w:type="dxa"/>
              <w:right w:w="110" w:type="dxa"/>
            </w:tcMar>
            <w:vAlign w:val="center"/>
          </w:tcPr>
          <w:p w14:paraId="28EB4598" w14:textId="77777777" w:rsidR="00EE7390" w:rsidRDefault="0056086B">
            <w:r>
              <w:rPr>
                <w:color w:val="000000"/>
                <w:sz w:val="20"/>
                <w:szCs w:val="20"/>
              </w:rPr>
              <w:t>Team expansion</w:t>
            </w:r>
          </w:p>
        </w:tc>
        <w:tc>
          <w:tcPr>
            <w:tcW w:w="1750" w:type="dxa"/>
            <w:tcMar>
              <w:top w:w="80" w:type="dxa"/>
              <w:left w:w="110" w:type="dxa"/>
              <w:bottom w:w="80" w:type="dxa"/>
              <w:right w:w="110" w:type="dxa"/>
            </w:tcMar>
            <w:vAlign w:val="center"/>
          </w:tcPr>
          <w:p w14:paraId="64D9AB03" w14:textId="77777777" w:rsidR="00EE7390" w:rsidRDefault="0056086B">
            <w:r>
              <w:rPr>
                <w:color w:val="000000"/>
                <w:sz w:val="20"/>
                <w:szCs w:val="20"/>
              </w:rPr>
              <w:t>$500,000</w:t>
            </w:r>
          </w:p>
        </w:tc>
        <w:tc>
          <w:tcPr>
            <w:tcW w:w="4400" w:type="dxa"/>
            <w:tcMar>
              <w:top w:w="80" w:type="dxa"/>
              <w:left w:w="110" w:type="dxa"/>
              <w:bottom w:w="80" w:type="dxa"/>
              <w:right w:w="110" w:type="dxa"/>
            </w:tcMar>
            <w:vAlign w:val="center"/>
          </w:tcPr>
          <w:p w14:paraId="0D828748" w14:textId="77777777" w:rsidR="00EE7390" w:rsidRDefault="0056086B">
            <w:r>
              <w:rPr>
                <w:color w:val="000000"/>
                <w:sz w:val="20"/>
                <w:szCs w:val="20"/>
              </w:rPr>
              <w:t>NT-based Project Manager, Community Engagement Lead and other planned hires</w:t>
            </w:r>
          </w:p>
        </w:tc>
      </w:tr>
      <w:tr w:rsidR="00EE7390" w14:paraId="29EE0D31" w14:textId="77777777">
        <w:tc>
          <w:tcPr>
            <w:tcW w:w="3200" w:type="dxa"/>
            <w:shd w:val="clear" w:color="auto" w:fill="F2F2F2"/>
            <w:tcMar>
              <w:top w:w="80" w:type="dxa"/>
              <w:left w:w="110" w:type="dxa"/>
              <w:bottom w:w="80" w:type="dxa"/>
              <w:right w:w="110" w:type="dxa"/>
            </w:tcMar>
            <w:vAlign w:val="center"/>
          </w:tcPr>
          <w:p w14:paraId="21E0FAD6" w14:textId="77777777" w:rsidR="00EE7390" w:rsidRDefault="0056086B">
            <w:r>
              <w:rPr>
                <w:color w:val="000000"/>
                <w:sz w:val="20"/>
                <w:szCs w:val="20"/>
              </w:rPr>
              <w:t>Seaweed processing unit</w:t>
            </w:r>
          </w:p>
        </w:tc>
        <w:tc>
          <w:tcPr>
            <w:tcW w:w="1750" w:type="dxa"/>
            <w:shd w:val="clear" w:color="auto" w:fill="F2F2F2"/>
            <w:tcMar>
              <w:top w:w="80" w:type="dxa"/>
              <w:left w:w="110" w:type="dxa"/>
              <w:bottom w:w="80" w:type="dxa"/>
              <w:right w:w="110" w:type="dxa"/>
            </w:tcMar>
            <w:vAlign w:val="center"/>
          </w:tcPr>
          <w:p w14:paraId="4F03A142" w14:textId="77777777" w:rsidR="00EE7390" w:rsidRDefault="0056086B">
            <w:r>
              <w:rPr>
                <w:color w:val="000000"/>
                <w:sz w:val="20"/>
                <w:szCs w:val="20"/>
              </w:rPr>
              <w:t>$250,000</w:t>
            </w:r>
          </w:p>
        </w:tc>
        <w:tc>
          <w:tcPr>
            <w:tcW w:w="4400" w:type="dxa"/>
            <w:shd w:val="clear" w:color="auto" w:fill="F2F2F2"/>
            <w:tcMar>
              <w:top w:w="80" w:type="dxa"/>
              <w:left w:w="110" w:type="dxa"/>
              <w:bottom w:w="80" w:type="dxa"/>
              <w:right w:w="110" w:type="dxa"/>
            </w:tcMar>
            <w:vAlign w:val="center"/>
          </w:tcPr>
          <w:p w14:paraId="594E3FAF" w14:textId="77777777" w:rsidR="00EE7390" w:rsidRDefault="0056086B">
            <w:r>
              <w:rPr>
                <w:color w:val="000000"/>
                <w:sz w:val="20"/>
                <w:szCs w:val="20"/>
              </w:rPr>
              <w:t>Containerised processing technology — engineering, fabrication and commissioning</w:t>
            </w:r>
          </w:p>
        </w:tc>
      </w:tr>
      <w:tr w:rsidR="00EE7390" w14:paraId="6AFEE169" w14:textId="77777777">
        <w:tc>
          <w:tcPr>
            <w:tcW w:w="3200" w:type="dxa"/>
            <w:tcMar>
              <w:top w:w="80" w:type="dxa"/>
              <w:left w:w="110" w:type="dxa"/>
              <w:bottom w:w="80" w:type="dxa"/>
              <w:right w:w="110" w:type="dxa"/>
            </w:tcMar>
            <w:vAlign w:val="center"/>
          </w:tcPr>
          <w:p w14:paraId="2C7CEADE" w14:textId="77777777" w:rsidR="00EE7390" w:rsidRDefault="0056086B">
            <w:r>
              <w:rPr>
                <w:color w:val="000000"/>
                <w:sz w:val="20"/>
                <w:szCs w:val="20"/>
              </w:rPr>
              <w:t>Operating expenses</w:t>
            </w:r>
          </w:p>
        </w:tc>
        <w:tc>
          <w:tcPr>
            <w:tcW w:w="1750" w:type="dxa"/>
            <w:tcMar>
              <w:top w:w="80" w:type="dxa"/>
              <w:left w:w="110" w:type="dxa"/>
              <w:bottom w:w="80" w:type="dxa"/>
              <w:right w:w="110" w:type="dxa"/>
            </w:tcMar>
            <w:vAlign w:val="center"/>
          </w:tcPr>
          <w:p w14:paraId="4F4B06DD" w14:textId="77777777" w:rsidR="00EE7390" w:rsidRDefault="0056086B">
            <w:r>
              <w:rPr>
                <w:color w:val="000000"/>
                <w:sz w:val="20"/>
                <w:szCs w:val="20"/>
              </w:rPr>
              <w:t>$220,000</w:t>
            </w:r>
          </w:p>
        </w:tc>
        <w:tc>
          <w:tcPr>
            <w:tcW w:w="4400" w:type="dxa"/>
            <w:tcMar>
              <w:top w:w="80" w:type="dxa"/>
              <w:left w:w="110" w:type="dxa"/>
              <w:bottom w:w="80" w:type="dxa"/>
              <w:right w:w="110" w:type="dxa"/>
            </w:tcMar>
            <w:vAlign w:val="center"/>
          </w:tcPr>
          <w:p w14:paraId="0C531951" w14:textId="77777777" w:rsidR="00EE7390" w:rsidRDefault="0056086B">
            <w:r>
              <w:rPr>
                <w:color w:val="000000"/>
                <w:sz w:val="20"/>
                <w:szCs w:val="20"/>
              </w:rPr>
              <w:t>General working capital and overheads</w:t>
            </w:r>
          </w:p>
        </w:tc>
      </w:tr>
      <w:tr w:rsidR="00EE7390" w14:paraId="03C70FA2" w14:textId="77777777">
        <w:tc>
          <w:tcPr>
            <w:tcW w:w="3200" w:type="dxa"/>
            <w:shd w:val="clear" w:color="auto" w:fill="F2F2F2"/>
            <w:tcMar>
              <w:top w:w="80" w:type="dxa"/>
              <w:left w:w="110" w:type="dxa"/>
              <w:bottom w:w="80" w:type="dxa"/>
              <w:right w:w="110" w:type="dxa"/>
            </w:tcMar>
            <w:vAlign w:val="center"/>
          </w:tcPr>
          <w:p w14:paraId="4F1A60B2" w14:textId="77777777" w:rsidR="00EE7390" w:rsidRDefault="0056086B">
            <w:r>
              <w:rPr>
                <w:color w:val="000000"/>
                <w:sz w:val="20"/>
                <w:szCs w:val="20"/>
              </w:rPr>
              <w:t>New site identification</w:t>
            </w:r>
          </w:p>
        </w:tc>
        <w:tc>
          <w:tcPr>
            <w:tcW w:w="1750" w:type="dxa"/>
            <w:shd w:val="clear" w:color="auto" w:fill="F2F2F2"/>
            <w:tcMar>
              <w:top w:w="80" w:type="dxa"/>
              <w:left w:w="110" w:type="dxa"/>
              <w:bottom w:w="80" w:type="dxa"/>
              <w:right w:w="110" w:type="dxa"/>
            </w:tcMar>
            <w:vAlign w:val="center"/>
          </w:tcPr>
          <w:p w14:paraId="41FC678D" w14:textId="77777777" w:rsidR="00EE7390" w:rsidRDefault="0056086B">
            <w:r>
              <w:rPr>
                <w:color w:val="000000"/>
                <w:sz w:val="20"/>
                <w:szCs w:val="20"/>
              </w:rPr>
              <w:t>$145,000</w:t>
            </w:r>
          </w:p>
        </w:tc>
        <w:tc>
          <w:tcPr>
            <w:tcW w:w="4400" w:type="dxa"/>
            <w:shd w:val="clear" w:color="auto" w:fill="F2F2F2"/>
            <w:tcMar>
              <w:top w:w="80" w:type="dxa"/>
              <w:left w:w="110" w:type="dxa"/>
              <w:bottom w:w="80" w:type="dxa"/>
              <w:right w:w="110" w:type="dxa"/>
            </w:tcMar>
            <w:vAlign w:val="center"/>
          </w:tcPr>
          <w:p w14:paraId="0B1D72BA" w14:textId="77777777" w:rsidR="00EE7390" w:rsidRDefault="0056086B">
            <w:r>
              <w:rPr>
                <w:color w:val="000000"/>
                <w:sz w:val="20"/>
                <w:szCs w:val="20"/>
              </w:rPr>
              <w:t>Site surveys, marine biology consulting, licensing groundwork</w:t>
            </w:r>
          </w:p>
        </w:tc>
      </w:tr>
      <w:tr w:rsidR="00EE7390" w14:paraId="78E95D01" w14:textId="77777777">
        <w:tc>
          <w:tcPr>
            <w:tcW w:w="3200" w:type="dxa"/>
            <w:tcMar>
              <w:top w:w="80" w:type="dxa"/>
              <w:left w:w="110" w:type="dxa"/>
              <w:bottom w:w="80" w:type="dxa"/>
              <w:right w:w="110" w:type="dxa"/>
            </w:tcMar>
            <w:vAlign w:val="center"/>
          </w:tcPr>
          <w:p w14:paraId="06AF66F6" w14:textId="77777777" w:rsidR="00EE7390" w:rsidRDefault="0056086B">
            <w:r>
              <w:rPr>
                <w:color w:val="000000"/>
                <w:sz w:val="20"/>
                <w:szCs w:val="20"/>
              </w:rPr>
              <w:t>NT site development (e.g. Gove)</w:t>
            </w:r>
          </w:p>
        </w:tc>
        <w:tc>
          <w:tcPr>
            <w:tcW w:w="1750" w:type="dxa"/>
            <w:tcMar>
              <w:top w:w="80" w:type="dxa"/>
              <w:left w:w="110" w:type="dxa"/>
              <w:bottom w:w="80" w:type="dxa"/>
              <w:right w:w="110" w:type="dxa"/>
            </w:tcMar>
            <w:vAlign w:val="center"/>
          </w:tcPr>
          <w:p w14:paraId="120DAC2F" w14:textId="77777777" w:rsidR="00EE7390" w:rsidRDefault="0056086B">
            <w:r>
              <w:rPr>
                <w:color w:val="000000"/>
                <w:sz w:val="20"/>
                <w:szCs w:val="20"/>
              </w:rPr>
              <w:t>$135,000</w:t>
            </w:r>
          </w:p>
        </w:tc>
        <w:tc>
          <w:tcPr>
            <w:tcW w:w="4400" w:type="dxa"/>
            <w:tcMar>
              <w:top w:w="80" w:type="dxa"/>
              <w:left w:w="110" w:type="dxa"/>
              <w:bottom w:w="80" w:type="dxa"/>
              <w:right w:w="110" w:type="dxa"/>
            </w:tcMar>
            <w:vAlign w:val="center"/>
          </w:tcPr>
          <w:p w14:paraId="31933F1F" w14:textId="77777777" w:rsidR="00EE7390" w:rsidRDefault="0056086B">
            <w:r>
              <w:rPr>
                <w:color w:val="000000"/>
                <w:sz w:val="20"/>
                <w:szCs w:val="20"/>
              </w:rPr>
              <w:t>Priority NT site progression</w:t>
            </w:r>
          </w:p>
        </w:tc>
      </w:tr>
      <w:tr w:rsidR="00EE7390" w14:paraId="3ADCA6D5" w14:textId="77777777">
        <w:tc>
          <w:tcPr>
            <w:tcW w:w="3200" w:type="dxa"/>
            <w:shd w:val="clear" w:color="auto" w:fill="F2F2F2"/>
            <w:tcMar>
              <w:top w:w="80" w:type="dxa"/>
              <w:left w:w="110" w:type="dxa"/>
              <w:bottom w:w="80" w:type="dxa"/>
              <w:right w:w="110" w:type="dxa"/>
            </w:tcMar>
            <w:vAlign w:val="center"/>
          </w:tcPr>
          <w:p w14:paraId="2BA1D9EA" w14:textId="77777777" w:rsidR="00EE7390" w:rsidRDefault="0056086B">
            <w:r>
              <w:rPr>
                <w:color w:val="000000"/>
                <w:sz w:val="20"/>
                <w:szCs w:val="20"/>
              </w:rPr>
              <w:t>Seed bank development</w:t>
            </w:r>
          </w:p>
        </w:tc>
        <w:tc>
          <w:tcPr>
            <w:tcW w:w="1750" w:type="dxa"/>
            <w:shd w:val="clear" w:color="auto" w:fill="F2F2F2"/>
            <w:tcMar>
              <w:top w:w="80" w:type="dxa"/>
              <w:left w:w="110" w:type="dxa"/>
              <w:bottom w:w="80" w:type="dxa"/>
              <w:right w:w="110" w:type="dxa"/>
            </w:tcMar>
            <w:vAlign w:val="center"/>
          </w:tcPr>
          <w:p w14:paraId="7B31A4B8" w14:textId="77777777" w:rsidR="00EE7390" w:rsidRDefault="0056086B">
            <w:r>
              <w:rPr>
                <w:color w:val="000000"/>
                <w:sz w:val="20"/>
                <w:szCs w:val="20"/>
              </w:rPr>
              <w:t>$100,000</w:t>
            </w:r>
          </w:p>
        </w:tc>
        <w:tc>
          <w:tcPr>
            <w:tcW w:w="4400" w:type="dxa"/>
            <w:shd w:val="clear" w:color="auto" w:fill="F2F2F2"/>
            <w:tcMar>
              <w:top w:w="80" w:type="dxa"/>
              <w:left w:w="110" w:type="dxa"/>
              <w:bottom w:w="80" w:type="dxa"/>
              <w:right w:w="110" w:type="dxa"/>
            </w:tcMar>
            <w:vAlign w:val="center"/>
          </w:tcPr>
          <w:p w14:paraId="3A892852" w14:textId="77777777" w:rsidR="00EE7390" w:rsidRDefault="0056086B">
            <w:r>
              <w:rPr>
                <w:color w:val="000000"/>
                <w:sz w:val="20"/>
                <w:szCs w:val="20"/>
              </w:rPr>
              <w:t>Cultivation stock and nursery development</w:t>
            </w:r>
          </w:p>
        </w:tc>
      </w:tr>
      <w:tr w:rsidR="00EE7390" w14:paraId="2BF45C86" w14:textId="77777777">
        <w:tc>
          <w:tcPr>
            <w:tcW w:w="3200" w:type="dxa"/>
            <w:tcMar>
              <w:top w:w="80" w:type="dxa"/>
              <w:left w:w="110" w:type="dxa"/>
              <w:bottom w:w="80" w:type="dxa"/>
              <w:right w:w="110" w:type="dxa"/>
            </w:tcMar>
            <w:vAlign w:val="center"/>
          </w:tcPr>
          <w:p w14:paraId="3DF91970" w14:textId="77777777" w:rsidR="00EE7390" w:rsidRDefault="0056086B">
            <w:r>
              <w:rPr>
                <w:color w:val="000000"/>
                <w:sz w:val="20"/>
                <w:szCs w:val="20"/>
              </w:rPr>
              <w:t>Total</w:t>
            </w:r>
          </w:p>
        </w:tc>
        <w:tc>
          <w:tcPr>
            <w:tcW w:w="1750" w:type="dxa"/>
            <w:tcMar>
              <w:top w:w="80" w:type="dxa"/>
              <w:left w:w="110" w:type="dxa"/>
              <w:bottom w:w="80" w:type="dxa"/>
              <w:right w:w="110" w:type="dxa"/>
            </w:tcMar>
            <w:vAlign w:val="center"/>
          </w:tcPr>
          <w:p w14:paraId="1851B249" w14:textId="77777777" w:rsidR="00EE7390" w:rsidRDefault="0056086B">
            <w:r>
              <w:rPr>
                <w:color w:val="000000"/>
                <w:sz w:val="20"/>
                <w:szCs w:val="20"/>
              </w:rPr>
              <w:t>$1,350,000</w:t>
            </w:r>
          </w:p>
        </w:tc>
        <w:tc>
          <w:tcPr>
            <w:tcW w:w="4400" w:type="dxa"/>
            <w:tcMar>
              <w:top w:w="80" w:type="dxa"/>
              <w:left w:w="110" w:type="dxa"/>
              <w:bottom w:w="80" w:type="dxa"/>
              <w:right w:w="110" w:type="dxa"/>
            </w:tcMar>
            <w:vAlign w:val="center"/>
          </w:tcPr>
          <w:p w14:paraId="113150C5" w14:textId="6187179D" w:rsidR="00EE7390" w:rsidRDefault="0056086B">
            <w:r>
              <w:rPr>
                <w:color w:val="000000"/>
                <w:sz w:val="20"/>
                <w:szCs w:val="20"/>
              </w:rPr>
              <w:t xml:space="preserve">Per the Company's current investor pitch materials; formal sign-off of this allocation </w:t>
            </w:r>
            <w:r>
              <w:rPr>
                <w:color w:val="000000"/>
                <w:sz w:val="20"/>
                <w:szCs w:val="20"/>
              </w:rPr>
              <w:t>was not confirmed in the documents sighted</w:t>
            </w:r>
          </w:p>
        </w:tc>
      </w:tr>
    </w:tbl>
    <w:p w14:paraId="588E5B0B" w14:textId="77777777" w:rsidR="00EE7390" w:rsidRDefault="00EE7390">
      <w:pPr>
        <w:spacing w:after="80"/>
      </w:pPr>
    </w:p>
    <w:p w14:paraId="550A75E0" w14:textId="77777777" w:rsidR="00E1722D" w:rsidRDefault="00E1722D">
      <w:pPr>
        <w:rPr>
          <w:b/>
          <w:bCs/>
          <w:color w:val="44546A"/>
          <w:sz w:val="23"/>
          <w:szCs w:val="23"/>
        </w:rPr>
      </w:pPr>
      <w:r>
        <w:rPr>
          <w:b/>
          <w:bCs/>
          <w:color w:val="44546A"/>
          <w:sz w:val="23"/>
          <w:szCs w:val="23"/>
        </w:rPr>
        <w:br w:type="page"/>
      </w:r>
    </w:p>
    <w:p w14:paraId="68479115" w14:textId="533FE394" w:rsidR="00EE7390" w:rsidRDefault="0056086B">
      <w:pPr>
        <w:pStyle w:val="Heading2"/>
        <w:spacing w:before="260" w:after="120"/>
      </w:pPr>
      <w:r>
        <w:rPr>
          <w:b/>
          <w:bCs/>
          <w:color w:val="44546A"/>
          <w:sz w:val="23"/>
          <w:szCs w:val="23"/>
        </w:rPr>
        <w:lastRenderedPageBreak/>
        <w:t>13.2 Go-to-market approach</w:t>
      </w:r>
    </w:p>
    <w:p w14:paraId="1C95B589" w14:textId="462DF796" w:rsidR="00EE7390" w:rsidRDefault="0056086B">
      <w:pPr>
        <w:spacing w:after="160"/>
        <w:jc w:val="both"/>
      </w:pPr>
      <w:r>
        <w:rPr>
          <w:color w:val="000000"/>
        </w:rPr>
        <w:t>The Company's financial model reflects a three-phase approach to customer engagement and validation for its primary, near-term revenue stream — the soil-improvement product for mine site and agricultural rehabilitation</w:t>
      </w:r>
      <w:r w:rsidR="00E1722D">
        <w:rPr>
          <w:color w:val="000000"/>
        </w:rPr>
        <w:t xml:space="preserve">, </w:t>
      </w:r>
      <w:r>
        <w:rPr>
          <w:color w:val="000000"/>
        </w:rPr>
        <w:t>which explains why the model is complex and why revenue is expected to build gradually before any step-change to larger, recurring contracts. Multiple product streams (soil products, and later agar gel and pigments) come online at different points over a 10-year horizon, but only the soil-product phasing below is reflected in the current financial case.</w:t>
      </w:r>
    </w:p>
    <w:p w14:paraId="3662199E" w14:textId="77777777" w:rsidR="00EE7390" w:rsidRDefault="0056086B" w:rsidP="00A93C9B">
      <w:pPr>
        <w:pStyle w:val="ListParagraph"/>
        <w:numPr>
          <w:ilvl w:val="0"/>
          <w:numId w:val="5"/>
        </w:numPr>
        <w:spacing w:after="160"/>
        <w:jc w:val="both"/>
      </w:pPr>
      <w:r w:rsidRPr="00A93C9B">
        <w:rPr>
          <w:color w:val="000000"/>
        </w:rPr>
        <w:t>Phase 1 (paid trials): lab-scale, paid soil-and-seed trials, typically priced at $10,000–$20,000, used to determine the appropriate product blend percentage for a given customer's soil. This is the entry point for a new customer relationship.</w:t>
      </w:r>
    </w:p>
    <w:p w14:paraId="6C7D9BDC" w14:textId="77777777" w:rsidR="00EE7390" w:rsidRDefault="0056086B" w:rsidP="00A93C9B">
      <w:pPr>
        <w:pStyle w:val="ListParagraph"/>
        <w:numPr>
          <w:ilvl w:val="0"/>
          <w:numId w:val="5"/>
        </w:numPr>
        <w:spacing w:after="160"/>
        <w:jc w:val="both"/>
      </w:pPr>
      <w:r w:rsidRPr="00A93C9B">
        <w:rPr>
          <w:color w:val="000000"/>
        </w:rPr>
        <w:t>Phase 2 (paid site trials): larger, paid customer site trials ranging from $100,000 to $1 million, with pricing dependent on whether the customer is a mining or agricultural operator and the scale of the land-based trial. These trials include Company-managed application and monitoring over a 12–24 month period.</w:t>
      </w:r>
    </w:p>
    <w:p w14:paraId="29D1427B" w14:textId="77777777" w:rsidR="00EE7390" w:rsidRDefault="0056086B" w:rsidP="00A93C9B">
      <w:pPr>
        <w:pStyle w:val="ListParagraph"/>
        <w:numPr>
          <w:ilvl w:val="0"/>
          <w:numId w:val="5"/>
        </w:numPr>
        <w:spacing w:after="160"/>
        <w:jc w:val="both"/>
      </w:pPr>
      <w:r w:rsidRPr="00A93C9B">
        <w:rPr>
          <w:color w:val="000000"/>
        </w:rPr>
        <w:t>Phase 3 (service contracts): full customer service contracts, ranging from $1 million to $10 million per project per year depending on project scale, with a minimum contract term of five years — reflecting the Company's own assessment of the time needed to demonstrate and sustain rehabilitation outcomes at a customer site.</w:t>
      </w:r>
    </w:p>
    <w:p w14:paraId="5BF03063" w14:textId="4C06EF96" w:rsidR="00EE7390" w:rsidRDefault="0056086B">
      <w:pPr>
        <w:spacing w:after="160"/>
        <w:jc w:val="both"/>
      </w:pPr>
      <w:r>
        <w:rPr>
          <w:color w:val="000000"/>
        </w:rPr>
        <w:t>For context, the Company's most advanced named counterparty, BHP, is proceeding under a separate, technical (TRL-based) trial framework developed with UWA rather than under this three-phase commercial structure directly; even so, on the dollar figures alone, that proposal's Phase 1 ($10,000) sits within this Phase 1 range, and its Phase 2 and Phase 3 figures ($120,000 and $230,000 respectively) both sit within this Phase 2 range — indicating that even the Company's most developed mining relationship has not</w:t>
      </w:r>
      <w:r>
        <w:rPr>
          <w:color w:val="000000"/>
        </w:rPr>
        <w:t xml:space="preserve"> yet reached the Phase 3 service-contract stage this financial model treats as the source of material revenue.</w:t>
      </w:r>
    </w:p>
    <w:p w14:paraId="287D3FA6" w14:textId="4122253C" w:rsidR="00EE7390" w:rsidRDefault="0056086B">
      <w:pPr>
        <w:spacing w:after="160"/>
        <w:jc w:val="both"/>
      </w:pPr>
      <w:r>
        <w:rPr>
          <w:color w:val="000000"/>
        </w:rPr>
        <w:t>Separately, the Company intends to develop wholesale distribution for its agar gel and pigment product streams, but does not expect consistent revenue from these streams until after the first five years of operation, reflecting the more demanding regulatory approval pathways in those markets.</w:t>
      </w:r>
    </w:p>
    <w:p w14:paraId="67FF9C8B" w14:textId="77777777" w:rsidR="00EE7390" w:rsidRDefault="0056086B">
      <w:pPr>
        <w:pStyle w:val="Heading2"/>
        <w:spacing w:before="260" w:after="120"/>
      </w:pPr>
      <w:r>
        <w:rPr>
          <w:b/>
          <w:bCs/>
          <w:color w:val="44546A"/>
          <w:sz w:val="23"/>
          <w:szCs w:val="23"/>
        </w:rPr>
        <w:t>13.3 Revenue model and projections</w:t>
      </w:r>
    </w:p>
    <w:p w14:paraId="39F2F0CD" w14:textId="32E7BB5F" w:rsidR="00EE7390" w:rsidRDefault="0056086B">
      <w:pPr>
        <w:spacing w:after="160"/>
        <w:jc w:val="both"/>
      </w:pPr>
      <w:r>
        <w:rPr>
          <w:color w:val="000000"/>
        </w:rPr>
        <w:t xml:space="preserve">Consistent with the phased approach described </w:t>
      </w:r>
      <w:r w:rsidR="00E1722D">
        <w:rPr>
          <w:color w:val="000000"/>
        </w:rPr>
        <w:t>earlier</w:t>
      </w:r>
      <w:r>
        <w:rPr>
          <w:color w:val="000000"/>
        </w:rPr>
        <w:t>, material, contracted revenue depends on customers progressing from Phase 1 trials through to Phase 3 service contracts — a process the Company's own commercial advisors expect to take several years per customer, meaning no formal offtake or long-term supply agreement is likely to be in place within the first five years of operation. Any revenue projection showing a large step-change earlier than this should be queried directly against the phase structure.</w:t>
      </w:r>
    </w:p>
    <w:p w14:paraId="380CB3B4" w14:textId="1C5F5BC5" w:rsidR="00EE7390" w:rsidRDefault="0056086B">
      <w:pPr>
        <w:spacing w:after="160"/>
        <w:jc w:val="both"/>
      </w:pPr>
      <w:r>
        <w:rPr>
          <w:color w:val="000000"/>
        </w:rPr>
        <w:t>The Company's model applies the Australian R&amp;D Tax Incentive at a rate of 43.5% to eligible Year 1–</w:t>
      </w:r>
      <w:r w:rsidR="00910CA9">
        <w:rPr>
          <w:color w:val="000000"/>
        </w:rPr>
        <w:t>3</w:t>
      </w:r>
      <w:r>
        <w:rPr>
          <w:color w:val="000000"/>
        </w:rPr>
        <w:t xml:space="preserve"> expenditure</w:t>
      </w:r>
      <w:r w:rsidR="00910CA9">
        <w:rPr>
          <w:color w:val="000000"/>
        </w:rPr>
        <w:t xml:space="preserve"> in alignment with their recent submission for the RDTI for FYE 2026.</w:t>
      </w:r>
    </w:p>
    <w:p w14:paraId="4B0A6F9F" w14:textId="77777777" w:rsidR="00EE7390" w:rsidRDefault="0056086B">
      <w:pPr>
        <w:pStyle w:val="Heading1"/>
        <w:pBdr>
          <w:bottom w:val="single" w:sz="8" w:space="4" w:color="1F3864"/>
        </w:pBdr>
        <w:spacing w:before="400" w:after="160"/>
      </w:pPr>
      <w:r>
        <w:rPr>
          <w:b/>
          <w:bCs/>
          <w:color w:val="1F3864"/>
          <w:sz w:val="27"/>
          <w:szCs w:val="27"/>
        </w:rPr>
        <w:t>14. Key Risks</w:t>
      </w:r>
    </w:p>
    <w:p w14:paraId="6A69150E" w14:textId="13F53BB9" w:rsidR="00EE7390" w:rsidRDefault="0056086B">
      <w:pPr>
        <w:spacing w:after="160"/>
        <w:jc w:val="both"/>
      </w:pPr>
      <w:r>
        <w:rPr>
          <w:color w:val="000000"/>
        </w:rPr>
        <w:t>The table below combines the Company's own risk self-assessment (from its internal risk register and SWOT analysis) with our own additions, and is intended to be read alongside the open due diligence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0"/>
        <w:gridCol w:w="3685"/>
        <w:gridCol w:w="3685"/>
      </w:tblGrid>
      <w:tr w:rsidR="00EE7390" w14:paraId="21116E3D" w14:textId="77777777" w:rsidTr="00F74B68">
        <w:trPr>
          <w:tblHeader/>
        </w:trPr>
        <w:tc>
          <w:tcPr>
            <w:tcW w:w="1980" w:type="dxa"/>
            <w:shd w:val="clear" w:color="auto" w:fill="1F3864"/>
            <w:tcMar>
              <w:top w:w="80" w:type="dxa"/>
              <w:left w:w="110" w:type="dxa"/>
              <w:bottom w:w="80" w:type="dxa"/>
              <w:right w:w="110" w:type="dxa"/>
            </w:tcMar>
            <w:vAlign w:val="center"/>
          </w:tcPr>
          <w:p w14:paraId="5C59A24F" w14:textId="77777777" w:rsidR="00EE7390" w:rsidRDefault="0056086B">
            <w:r>
              <w:rPr>
                <w:b/>
                <w:bCs/>
                <w:color w:val="FFFFFF"/>
                <w:sz w:val="20"/>
                <w:szCs w:val="20"/>
              </w:rPr>
              <w:t>Risk</w:t>
            </w:r>
          </w:p>
        </w:tc>
        <w:tc>
          <w:tcPr>
            <w:tcW w:w="3685" w:type="dxa"/>
            <w:shd w:val="clear" w:color="auto" w:fill="1F3864"/>
            <w:tcMar>
              <w:top w:w="80" w:type="dxa"/>
              <w:left w:w="110" w:type="dxa"/>
              <w:bottom w:w="80" w:type="dxa"/>
              <w:right w:w="110" w:type="dxa"/>
            </w:tcMar>
            <w:vAlign w:val="center"/>
          </w:tcPr>
          <w:p w14:paraId="75B4A3F0" w14:textId="77777777" w:rsidR="00EE7390" w:rsidRDefault="0056086B">
            <w:r>
              <w:rPr>
                <w:b/>
                <w:bCs/>
                <w:color w:val="FFFFFF"/>
                <w:sz w:val="20"/>
                <w:szCs w:val="20"/>
              </w:rPr>
              <w:t>Description</w:t>
            </w:r>
          </w:p>
        </w:tc>
        <w:tc>
          <w:tcPr>
            <w:tcW w:w="3685" w:type="dxa"/>
            <w:shd w:val="clear" w:color="auto" w:fill="1F3864"/>
            <w:tcMar>
              <w:top w:w="80" w:type="dxa"/>
              <w:left w:w="110" w:type="dxa"/>
              <w:bottom w:w="80" w:type="dxa"/>
              <w:right w:w="110" w:type="dxa"/>
            </w:tcMar>
            <w:vAlign w:val="center"/>
          </w:tcPr>
          <w:p w14:paraId="2E0215F7" w14:textId="77777777" w:rsidR="00EE7390" w:rsidRDefault="0056086B">
            <w:r>
              <w:rPr>
                <w:b/>
                <w:bCs/>
                <w:color w:val="FFFFFF"/>
                <w:sz w:val="20"/>
                <w:szCs w:val="20"/>
              </w:rPr>
              <w:t>Mitigant / Comment</w:t>
            </w:r>
          </w:p>
        </w:tc>
      </w:tr>
      <w:tr w:rsidR="00EE7390" w14:paraId="4FD1FB74" w14:textId="77777777" w:rsidTr="00F74B68">
        <w:tc>
          <w:tcPr>
            <w:tcW w:w="1980" w:type="dxa"/>
            <w:tcMar>
              <w:top w:w="80" w:type="dxa"/>
              <w:left w:w="110" w:type="dxa"/>
              <w:bottom w:w="80" w:type="dxa"/>
              <w:right w:w="110" w:type="dxa"/>
            </w:tcMar>
            <w:vAlign w:val="center"/>
          </w:tcPr>
          <w:p w14:paraId="34BED4E8" w14:textId="77777777" w:rsidR="00EE7390" w:rsidRDefault="0056086B">
            <w:r>
              <w:rPr>
                <w:color w:val="000000"/>
                <w:sz w:val="20"/>
                <w:szCs w:val="20"/>
              </w:rPr>
              <w:t>Customer conversion</w:t>
            </w:r>
          </w:p>
        </w:tc>
        <w:tc>
          <w:tcPr>
            <w:tcW w:w="3685" w:type="dxa"/>
            <w:tcMar>
              <w:top w:w="80" w:type="dxa"/>
              <w:left w:w="110" w:type="dxa"/>
              <w:bottom w:w="80" w:type="dxa"/>
              <w:right w:w="110" w:type="dxa"/>
            </w:tcMar>
            <w:vAlign w:val="center"/>
          </w:tcPr>
          <w:p w14:paraId="17FA8B58" w14:textId="77777777" w:rsidR="00EE7390" w:rsidRDefault="0056086B">
            <w:r>
              <w:rPr>
                <w:color w:val="000000"/>
                <w:sz w:val="20"/>
                <w:szCs w:val="20"/>
              </w:rPr>
              <w:t>No binding mining-customer contract, LOI or EOI in place; enterprise/major-miner sales cycles are typically long</w:t>
            </w:r>
          </w:p>
        </w:tc>
        <w:tc>
          <w:tcPr>
            <w:tcW w:w="3685" w:type="dxa"/>
            <w:tcMar>
              <w:top w:w="80" w:type="dxa"/>
              <w:left w:w="110" w:type="dxa"/>
              <w:bottom w:w="80" w:type="dxa"/>
              <w:right w:w="110" w:type="dxa"/>
            </w:tcMar>
            <w:vAlign w:val="center"/>
          </w:tcPr>
          <w:p w14:paraId="01C07841" w14:textId="77777777" w:rsidR="00EE7390" w:rsidRDefault="0056086B">
            <w:r>
              <w:rPr>
                <w:color w:val="000000"/>
                <w:sz w:val="20"/>
                <w:szCs w:val="20"/>
              </w:rPr>
              <w:t>Detailed BHP trial proposal and informal Rio Tinto/South32 interest exist; recommend a signed pilot/LOI as a priority item</w:t>
            </w:r>
          </w:p>
        </w:tc>
      </w:tr>
      <w:tr w:rsidR="00EE7390" w14:paraId="2AEDDAC1" w14:textId="77777777" w:rsidTr="00F74B68">
        <w:tc>
          <w:tcPr>
            <w:tcW w:w="1980" w:type="dxa"/>
            <w:shd w:val="clear" w:color="auto" w:fill="F2F2F2"/>
            <w:tcMar>
              <w:top w:w="80" w:type="dxa"/>
              <w:left w:w="110" w:type="dxa"/>
              <w:bottom w:w="80" w:type="dxa"/>
              <w:right w:w="110" w:type="dxa"/>
            </w:tcMar>
            <w:vAlign w:val="center"/>
          </w:tcPr>
          <w:p w14:paraId="45A86091" w14:textId="77777777" w:rsidR="00EE7390" w:rsidRDefault="0056086B">
            <w:r>
              <w:rPr>
                <w:color w:val="000000"/>
                <w:sz w:val="20"/>
                <w:szCs w:val="20"/>
              </w:rPr>
              <w:t>Key-person concentration</w:t>
            </w:r>
          </w:p>
        </w:tc>
        <w:tc>
          <w:tcPr>
            <w:tcW w:w="3685" w:type="dxa"/>
            <w:shd w:val="clear" w:color="auto" w:fill="F2F2F2"/>
            <w:tcMar>
              <w:top w:w="80" w:type="dxa"/>
              <w:left w:w="110" w:type="dxa"/>
              <w:bottom w:w="80" w:type="dxa"/>
              <w:right w:w="110" w:type="dxa"/>
            </w:tcMar>
            <w:vAlign w:val="center"/>
          </w:tcPr>
          <w:p w14:paraId="678D79D5" w14:textId="77777777" w:rsidR="00EE7390" w:rsidRDefault="0056086B">
            <w:r>
              <w:rPr>
                <w:color w:val="000000"/>
                <w:sz w:val="20"/>
                <w:szCs w:val="20"/>
              </w:rPr>
              <w:t>Sole-director governance; founder is also completing a PhD and is central to both technical and commercial delivery</w:t>
            </w:r>
          </w:p>
        </w:tc>
        <w:tc>
          <w:tcPr>
            <w:tcW w:w="3685" w:type="dxa"/>
            <w:shd w:val="clear" w:color="auto" w:fill="F2F2F2"/>
            <w:tcMar>
              <w:top w:w="80" w:type="dxa"/>
              <w:left w:w="110" w:type="dxa"/>
              <w:bottom w:w="80" w:type="dxa"/>
              <w:right w:w="110" w:type="dxa"/>
            </w:tcMar>
            <w:vAlign w:val="center"/>
          </w:tcPr>
          <w:p w14:paraId="3987D472" w14:textId="77777777" w:rsidR="00EE7390" w:rsidRDefault="0056086B">
            <w:r>
              <w:rPr>
                <w:color w:val="000000"/>
                <w:sz w:val="20"/>
                <w:szCs w:val="20"/>
              </w:rPr>
              <w:t>Planned BD/PM hires; recommend board seat(s), key-person provisions as deal terms</w:t>
            </w:r>
          </w:p>
        </w:tc>
      </w:tr>
      <w:tr w:rsidR="00EE7390" w14:paraId="39CDFE90" w14:textId="77777777" w:rsidTr="00F74B68">
        <w:tc>
          <w:tcPr>
            <w:tcW w:w="1980" w:type="dxa"/>
            <w:tcMar>
              <w:top w:w="80" w:type="dxa"/>
              <w:left w:w="110" w:type="dxa"/>
              <w:bottom w:w="80" w:type="dxa"/>
              <w:right w:w="110" w:type="dxa"/>
            </w:tcMar>
            <w:vAlign w:val="center"/>
          </w:tcPr>
          <w:p w14:paraId="4F27C03B" w14:textId="77777777" w:rsidR="00EE7390" w:rsidRDefault="0056086B">
            <w:r>
              <w:rPr>
                <w:color w:val="000000"/>
                <w:sz w:val="20"/>
                <w:szCs w:val="20"/>
              </w:rPr>
              <w:lastRenderedPageBreak/>
              <w:t>Market-sizing evidence</w:t>
            </w:r>
          </w:p>
        </w:tc>
        <w:tc>
          <w:tcPr>
            <w:tcW w:w="3685" w:type="dxa"/>
            <w:tcMar>
              <w:top w:w="80" w:type="dxa"/>
              <w:left w:w="110" w:type="dxa"/>
              <w:bottom w:w="80" w:type="dxa"/>
              <w:right w:w="110" w:type="dxa"/>
            </w:tcMar>
            <w:vAlign w:val="center"/>
          </w:tcPr>
          <w:p w14:paraId="430681E8" w14:textId="77777777" w:rsidR="00EE7390" w:rsidRDefault="0056086B">
            <w:r>
              <w:rPr>
                <w:color w:val="000000"/>
                <w:sz w:val="20"/>
                <w:szCs w:val="20"/>
              </w:rPr>
              <w:t>The CSIRO mine-closure cost figure's time basis (annual vs 20-year) and the 15% soil-rehabilitation allocation are unverified/internal assumptions</w:t>
            </w:r>
          </w:p>
        </w:tc>
        <w:tc>
          <w:tcPr>
            <w:tcW w:w="3685" w:type="dxa"/>
            <w:tcMar>
              <w:top w:w="80" w:type="dxa"/>
              <w:left w:w="110" w:type="dxa"/>
              <w:bottom w:w="80" w:type="dxa"/>
              <w:right w:w="110" w:type="dxa"/>
            </w:tcMar>
            <w:vAlign w:val="center"/>
          </w:tcPr>
          <w:p w14:paraId="6BB27F64" w14:textId="77777777" w:rsidR="00EE7390" w:rsidRDefault="0056086B">
            <w:r>
              <w:rPr>
                <w:color w:val="000000"/>
                <w:sz w:val="20"/>
                <w:szCs w:val="20"/>
              </w:rPr>
              <w:t>Independently verify primary CSIRO source</w:t>
            </w:r>
          </w:p>
        </w:tc>
      </w:tr>
      <w:tr w:rsidR="00EE7390" w14:paraId="5425EA93" w14:textId="77777777" w:rsidTr="00F74B68">
        <w:tc>
          <w:tcPr>
            <w:tcW w:w="1980" w:type="dxa"/>
            <w:shd w:val="clear" w:color="auto" w:fill="F2F2F2"/>
            <w:tcMar>
              <w:top w:w="80" w:type="dxa"/>
              <w:left w:w="110" w:type="dxa"/>
              <w:bottom w:w="80" w:type="dxa"/>
              <w:right w:w="110" w:type="dxa"/>
            </w:tcMar>
            <w:vAlign w:val="center"/>
          </w:tcPr>
          <w:p w14:paraId="2EABAF0F" w14:textId="77777777" w:rsidR="00EE7390" w:rsidRDefault="0056086B">
            <w:r>
              <w:rPr>
                <w:color w:val="000000"/>
                <w:sz w:val="20"/>
                <w:szCs w:val="20"/>
              </w:rPr>
              <w:t>Regulatory pathway</w:t>
            </w:r>
          </w:p>
        </w:tc>
        <w:tc>
          <w:tcPr>
            <w:tcW w:w="3685" w:type="dxa"/>
            <w:shd w:val="clear" w:color="auto" w:fill="F2F2F2"/>
            <w:tcMar>
              <w:top w:w="80" w:type="dxa"/>
              <w:left w:w="110" w:type="dxa"/>
              <w:bottom w:w="80" w:type="dxa"/>
              <w:right w:w="110" w:type="dxa"/>
            </w:tcMar>
            <w:vAlign w:val="center"/>
          </w:tcPr>
          <w:p w14:paraId="0B6796A3" w14:textId="77777777" w:rsidR="00EE7390" w:rsidRDefault="0056086B">
            <w:r>
              <w:rPr>
                <w:color w:val="000000"/>
                <w:sz w:val="20"/>
                <w:szCs w:val="20"/>
              </w:rPr>
              <w:t>Soil-product registration (e.g. APVMA/state agriculture) and environmental approvals for cultivation and mine-site work are still being worked through; no approvals sighted</w:t>
            </w:r>
          </w:p>
        </w:tc>
        <w:tc>
          <w:tcPr>
            <w:tcW w:w="3685" w:type="dxa"/>
            <w:shd w:val="clear" w:color="auto" w:fill="F2F2F2"/>
            <w:tcMar>
              <w:top w:w="80" w:type="dxa"/>
              <w:left w:w="110" w:type="dxa"/>
              <w:bottom w:w="80" w:type="dxa"/>
              <w:right w:w="110" w:type="dxa"/>
            </w:tcMar>
            <w:vAlign w:val="center"/>
          </w:tcPr>
          <w:p w14:paraId="200AA9EF" w14:textId="77777777" w:rsidR="00EE7390" w:rsidRDefault="0056086B">
            <w:r>
              <w:rPr>
                <w:color w:val="000000"/>
                <w:sz w:val="20"/>
                <w:szCs w:val="20"/>
              </w:rPr>
              <w:t>Map regulatory pathway and timeline as part of due diligence</w:t>
            </w:r>
          </w:p>
        </w:tc>
      </w:tr>
      <w:tr w:rsidR="00EE7390" w14:paraId="0CF40ED6" w14:textId="77777777" w:rsidTr="00F74B68">
        <w:tc>
          <w:tcPr>
            <w:tcW w:w="1980" w:type="dxa"/>
            <w:tcMar>
              <w:top w:w="80" w:type="dxa"/>
              <w:left w:w="110" w:type="dxa"/>
              <w:bottom w:w="80" w:type="dxa"/>
              <w:right w:w="110" w:type="dxa"/>
            </w:tcMar>
            <w:vAlign w:val="center"/>
          </w:tcPr>
          <w:p w14:paraId="4DA4DE72" w14:textId="77777777" w:rsidR="00EE7390" w:rsidRDefault="0056086B">
            <w:r>
              <w:rPr>
                <w:color w:val="000000"/>
                <w:sz w:val="20"/>
                <w:szCs w:val="20"/>
              </w:rPr>
              <w:t>Traditional Owner/community arrangements</w:t>
            </w:r>
          </w:p>
        </w:tc>
        <w:tc>
          <w:tcPr>
            <w:tcW w:w="3685" w:type="dxa"/>
            <w:tcMar>
              <w:top w:w="80" w:type="dxa"/>
              <w:left w:w="110" w:type="dxa"/>
              <w:bottom w:w="80" w:type="dxa"/>
              <w:right w:w="110" w:type="dxa"/>
            </w:tcMar>
            <w:vAlign w:val="center"/>
          </w:tcPr>
          <w:p w14:paraId="48F69B79" w14:textId="77777777" w:rsidR="00EE7390" w:rsidRDefault="0056086B">
            <w:r>
              <w:rPr>
                <w:color w:val="000000"/>
                <w:sz w:val="20"/>
                <w:szCs w:val="20"/>
              </w:rPr>
              <w:t>Flagship KLC MOU and SPV/benefit-sharing concept are non-binding/conceptual, notwithstanding their centrality to the Company's regional narrative</w:t>
            </w:r>
          </w:p>
        </w:tc>
        <w:tc>
          <w:tcPr>
            <w:tcW w:w="3685" w:type="dxa"/>
            <w:tcMar>
              <w:top w:w="80" w:type="dxa"/>
              <w:left w:w="110" w:type="dxa"/>
              <w:bottom w:w="80" w:type="dxa"/>
              <w:right w:w="110" w:type="dxa"/>
            </w:tcMar>
            <w:vAlign w:val="center"/>
          </w:tcPr>
          <w:p w14:paraId="37B7458D" w14:textId="77777777" w:rsidR="00EE7390" w:rsidRDefault="0056086B">
            <w:r>
              <w:rPr>
                <w:color w:val="000000"/>
                <w:sz w:val="20"/>
                <w:szCs w:val="20"/>
              </w:rPr>
              <w:t>See Section 12.5; consider requiring further formalisation as a condition of this round if this is material to the investment thesis</w:t>
            </w:r>
          </w:p>
        </w:tc>
      </w:tr>
      <w:tr w:rsidR="00DA1171" w14:paraId="2FF9F8D3" w14:textId="77777777" w:rsidTr="00F74B68">
        <w:tc>
          <w:tcPr>
            <w:tcW w:w="1980" w:type="dxa"/>
            <w:tcMar>
              <w:top w:w="80" w:type="dxa"/>
              <w:left w:w="110" w:type="dxa"/>
              <w:bottom w:w="80" w:type="dxa"/>
              <w:right w:w="110" w:type="dxa"/>
            </w:tcMar>
            <w:vAlign w:val="center"/>
          </w:tcPr>
          <w:p w14:paraId="5D17813D" w14:textId="576DA038" w:rsidR="00DA1171" w:rsidRDefault="00CA4A3B">
            <w:pPr>
              <w:rPr>
                <w:color w:val="000000"/>
                <w:sz w:val="20"/>
                <w:szCs w:val="20"/>
              </w:rPr>
            </w:pPr>
            <w:r>
              <w:rPr>
                <w:color w:val="000000"/>
                <w:sz w:val="20"/>
                <w:szCs w:val="20"/>
              </w:rPr>
              <w:t>Cost of operations</w:t>
            </w:r>
          </w:p>
        </w:tc>
        <w:tc>
          <w:tcPr>
            <w:tcW w:w="3685" w:type="dxa"/>
            <w:tcMar>
              <w:top w:w="80" w:type="dxa"/>
              <w:left w:w="110" w:type="dxa"/>
              <w:bottom w:w="80" w:type="dxa"/>
              <w:right w:w="110" w:type="dxa"/>
            </w:tcMar>
            <w:vAlign w:val="center"/>
          </w:tcPr>
          <w:p w14:paraId="69C5F047" w14:textId="1E111D8B" w:rsidR="00DA1171" w:rsidRDefault="00CA4A3B">
            <w:pPr>
              <w:rPr>
                <w:color w:val="000000"/>
                <w:sz w:val="20"/>
                <w:szCs w:val="20"/>
              </w:rPr>
            </w:pPr>
            <w:r>
              <w:rPr>
                <w:color w:val="000000"/>
                <w:sz w:val="20"/>
                <w:szCs w:val="20"/>
              </w:rPr>
              <w:t xml:space="preserve">The growth rate of native seaweed and associated </w:t>
            </w:r>
            <w:r w:rsidR="00E53E61">
              <w:rPr>
                <w:color w:val="000000"/>
                <w:sz w:val="20"/>
                <w:szCs w:val="20"/>
              </w:rPr>
              <w:t>processing doesn’t result in a viable profit margin.</w:t>
            </w:r>
          </w:p>
        </w:tc>
        <w:tc>
          <w:tcPr>
            <w:tcW w:w="3685" w:type="dxa"/>
            <w:tcMar>
              <w:top w:w="80" w:type="dxa"/>
              <w:left w:w="110" w:type="dxa"/>
              <w:bottom w:w="80" w:type="dxa"/>
              <w:right w:w="110" w:type="dxa"/>
            </w:tcMar>
            <w:vAlign w:val="center"/>
          </w:tcPr>
          <w:p w14:paraId="699FBBF1" w14:textId="5D976461" w:rsidR="00DA1171" w:rsidRDefault="00E53E61">
            <w:pPr>
              <w:rPr>
                <w:color w:val="000000"/>
                <w:sz w:val="20"/>
                <w:szCs w:val="20"/>
              </w:rPr>
            </w:pPr>
            <w:r>
              <w:rPr>
                <w:color w:val="000000"/>
                <w:sz w:val="20"/>
                <w:szCs w:val="20"/>
              </w:rPr>
              <w:t xml:space="preserve">Adaptable processing equipment </w:t>
            </w:r>
            <w:r w:rsidR="0088227C">
              <w:rPr>
                <w:color w:val="000000"/>
                <w:sz w:val="20"/>
                <w:szCs w:val="20"/>
              </w:rPr>
              <w:t>allowing</w:t>
            </w:r>
            <w:r>
              <w:rPr>
                <w:color w:val="000000"/>
                <w:sz w:val="20"/>
                <w:szCs w:val="20"/>
              </w:rPr>
              <w:t xml:space="preserve"> for changing </w:t>
            </w:r>
            <w:r w:rsidR="0088227C">
              <w:rPr>
                <w:color w:val="000000"/>
                <w:sz w:val="20"/>
                <w:szCs w:val="20"/>
              </w:rPr>
              <w:t>markets and demand as well as a focus on establishing local supply chains for sustainable revenue generation</w:t>
            </w:r>
          </w:p>
        </w:tc>
      </w:tr>
    </w:tbl>
    <w:p w14:paraId="09E9EEB4" w14:textId="77777777" w:rsidR="00EE7390" w:rsidRDefault="0056086B">
      <w:pPr>
        <w:pStyle w:val="Heading1"/>
        <w:pBdr>
          <w:bottom w:val="single" w:sz="8" w:space="4" w:color="1F3864"/>
        </w:pBdr>
        <w:spacing w:before="400" w:after="160"/>
      </w:pPr>
      <w:r>
        <w:rPr>
          <w:b/>
          <w:bCs/>
          <w:color w:val="1F3864"/>
          <w:sz w:val="27"/>
          <w:szCs w:val="27"/>
        </w:rPr>
        <w:t>15. Due Diligence — Open Items</w:t>
      </w:r>
    </w:p>
    <w:p w14:paraId="6E772363" w14:textId="5B54DF1D" w:rsidR="00EE7390" w:rsidRDefault="0056086B">
      <w:pPr>
        <w:spacing w:after="160"/>
        <w:jc w:val="both"/>
      </w:pPr>
      <w:r>
        <w:rPr>
          <w:color w:val="000000"/>
        </w:rPr>
        <w:t xml:space="preserve">The following items </w:t>
      </w:r>
      <w:r w:rsidR="00C75061">
        <w:rPr>
          <w:color w:val="000000"/>
        </w:rPr>
        <w:t>could not</w:t>
      </w:r>
      <w:r>
        <w:rPr>
          <w:color w:val="000000"/>
        </w:rPr>
        <w:t xml:space="preserve"> be fully evidenced from the materials made available</w:t>
      </w:r>
      <w:r w:rsidR="00C75061">
        <w:rPr>
          <w:color w:val="000000"/>
        </w:rPr>
        <w:t>:</w:t>
      </w:r>
    </w:p>
    <w:p w14:paraId="6B958F6A" w14:textId="77777777" w:rsidR="00EE7390" w:rsidRDefault="0056086B">
      <w:pPr>
        <w:pStyle w:val="ListParagraph"/>
        <w:numPr>
          <w:ilvl w:val="0"/>
          <w:numId w:val="2"/>
        </w:numPr>
        <w:spacing w:after="90"/>
      </w:pPr>
      <w:r>
        <w:t>A signed letter of support, expression of interest, or paid pilot/trial agreement with at least one named mining customer (Rio Tinto, BHP or South32).</w:t>
      </w:r>
    </w:p>
    <w:p w14:paraId="760E4548" w14:textId="4CFA426F" w:rsidR="00EE7390" w:rsidRDefault="0056086B" w:rsidP="00C75061">
      <w:pPr>
        <w:pStyle w:val="ListParagraph"/>
        <w:numPr>
          <w:ilvl w:val="0"/>
          <w:numId w:val="2"/>
        </w:numPr>
        <w:spacing w:after="90"/>
      </w:pPr>
      <w:r>
        <w:t>Written confirmation from UWA of NASC's rights to commercialise IP arising from the founder's PhD research.</w:t>
      </w:r>
    </w:p>
    <w:p w14:paraId="49DCB794" w14:textId="77777777" w:rsidR="00EE7390" w:rsidRDefault="0056086B">
      <w:pPr>
        <w:pStyle w:val="ListParagraph"/>
        <w:numPr>
          <w:ilvl w:val="0"/>
          <w:numId w:val="2"/>
        </w:numPr>
        <w:spacing w:after="90"/>
      </w:pPr>
      <w:r>
        <w:t>Confirmation of the regulatory pathway and timeline for soil-product registration and environmental approvals.</w:t>
      </w:r>
    </w:p>
    <w:p w14:paraId="41B28002" w14:textId="0FC438F1" w:rsidR="00C75061" w:rsidRDefault="00C75061">
      <w:pPr>
        <w:pStyle w:val="ListParagraph"/>
        <w:numPr>
          <w:ilvl w:val="0"/>
          <w:numId w:val="2"/>
        </w:numPr>
        <w:spacing w:after="90"/>
      </w:pPr>
      <w:r>
        <w:t xml:space="preserve">Contract agreement with Maxima Pearling for </w:t>
      </w:r>
      <w:r w:rsidR="00776D16">
        <w:t xml:space="preserve">ongoing regional development of aquaculture in North Australia and the time commitment expected from SeaCulture to act on behalf of their organisation </w:t>
      </w:r>
    </w:p>
    <w:p w14:paraId="3EC0A8B8" w14:textId="7F59736E" w:rsidR="00EE7390" w:rsidRDefault="0056086B">
      <w:pPr>
        <w:pStyle w:val="Heading1"/>
        <w:pBdr>
          <w:bottom w:val="single" w:sz="8" w:space="4" w:color="1F3864"/>
        </w:pBdr>
        <w:spacing w:before="400" w:after="160"/>
      </w:pPr>
      <w:r>
        <w:rPr>
          <w:b/>
          <w:bCs/>
          <w:color w:val="1F3864"/>
          <w:sz w:val="27"/>
          <w:szCs w:val="27"/>
        </w:rPr>
        <w:t>16. Recommendation</w:t>
      </w:r>
    </w:p>
    <w:p w14:paraId="00157CDB" w14:textId="37A4E6FA" w:rsidR="00EE7390" w:rsidRDefault="0056086B">
      <w:pPr>
        <w:spacing w:after="160"/>
        <w:jc w:val="both"/>
      </w:pPr>
      <w:r>
        <w:rPr>
          <w:color w:val="000000"/>
        </w:rPr>
        <w:t xml:space="preserve">We recommend the Committee proceed to a formal due diligence phase on North Australian SeaCulture Pty Ltd. The Company presents a credible, well-differentiated, founder-market-fit opportunity with a genuinely substantial (if largely non-binding, at this stage) set of Northern Territory, Traditional Owner and institutional relationships, addressing a real and growing liability (mine site rehabilitation) for which no scalable nature-based alternative currently exists in the region. The founder's personal and </w:t>
      </w:r>
      <w:r>
        <w:rPr>
          <w:color w:val="000000"/>
        </w:rPr>
        <w:t>professional credibility in the Northern Territory is a real and somewhat unusual asset for a company at this stage, and is likely to be difficult for a competitor to replicate quickly.</w:t>
      </w:r>
    </w:p>
    <w:p w14:paraId="53638126" w14:textId="35D21773" w:rsidR="00EE7390" w:rsidRDefault="0056086B">
      <w:pPr>
        <w:spacing w:after="160"/>
        <w:jc w:val="both"/>
      </w:pPr>
      <w:r>
        <w:rPr>
          <w:color w:val="000000"/>
        </w:rPr>
        <w:t xml:space="preserve">Set against this, the Company is pre-revenue, pre-customer-contract, and pre-independent-governance, with its core technology and unit economics still in active development and its most consequential community and Traditional Owner arrangements still non-binding. </w:t>
      </w:r>
      <w:r w:rsidR="002E63A4">
        <w:rPr>
          <w:color w:val="000000"/>
        </w:rPr>
        <w:t>It should not be</w:t>
      </w:r>
      <w:r>
        <w:rPr>
          <w:color w:val="000000"/>
        </w:rPr>
        <w:t xml:space="preserve"> consider</w:t>
      </w:r>
      <w:r w:rsidR="002E63A4">
        <w:rPr>
          <w:color w:val="000000"/>
        </w:rPr>
        <w:t>ed that</w:t>
      </w:r>
      <w:r>
        <w:rPr>
          <w:color w:val="000000"/>
        </w:rPr>
        <w:t xml:space="preserve"> these gaps to be disqualifying at the pre-seed stage</w:t>
      </w:r>
      <w:r w:rsidR="002E63A4">
        <w:rPr>
          <w:color w:val="000000"/>
        </w:rPr>
        <w:t>,</w:t>
      </w:r>
      <w:r>
        <w:rPr>
          <w:color w:val="000000"/>
        </w:rPr>
        <w:t xml:space="preserve"> they are, in large part, exactly what this round of capital and the associated Investment Readiness program are intended to close but</w:t>
      </w:r>
      <w:r w:rsidR="002E63A4">
        <w:rPr>
          <w:color w:val="000000"/>
        </w:rPr>
        <w:t>,</w:t>
      </w:r>
      <w:r>
        <w:rPr>
          <w:color w:val="000000"/>
        </w:rPr>
        <w:t xml:space="preserve"> they should be tracked explicitly.</w:t>
      </w:r>
    </w:p>
    <w:p w14:paraId="1E5BA150" w14:textId="57DA5E55" w:rsidR="00EE7390" w:rsidRDefault="00EE7390">
      <w:pPr>
        <w:pBdr>
          <w:top w:val="single" w:sz="4" w:space="8" w:color="BFBFBF"/>
        </w:pBdr>
        <w:spacing w:before="100"/>
      </w:pPr>
    </w:p>
    <w:sectPr w:rsidR="00EE7390">
      <w:headerReference w:type="default" r:id="rId13"/>
      <w:footerReference w:type="default" r:id="rId14"/>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AF1EF" w14:textId="77777777" w:rsidR="0056086B" w:rsidRDefault="0056086B">
      <w:r>
        <w:separator/>
      </w:r>
    </w:p>
  </w:endnote>
  <w:endnote w:type="continuationSeparator" w:id="0">
    <w:p w14:paraId="7FF86FEC" w14:textId="77777777" w:rsidR="0056086B" w:rsidRDefault="00560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634D" w14:textId="77777777" w:rsidR="00EE7390" w:rsidRDefault="0056086B">
    <w:pPr>
      <w:jc w:val="center"/>
    </w:pPr>
    <w:r>
      <w:rPr>
        <w:color w:val="595959"/>
        <w:sz w:val="16"/>
        <w:szCs w:val="16"/>
      </w:rPr>
      <w:t xml:space="preserve">Private &amp; Confidential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AF44F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F44F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0DEA" w14:textId="77777777" w:rsidR="0056086B" w:rsidRDefault="0056086B">
      <w:r>
        <w:separator/>
      </w:r>
    </w:p>
  </w:footnote>
  <w:footnote w:type="continuationSeparator" w:id="0">
    <w:p w14:paraId="2FC6650B" w14:textId="77777777" w:rsidR="0056086B" w:rsidRDefault="00560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C94A" w14:textId="77777777" w:rsidR="00EE7390" w:rsidRDefault="0056086B">
    <w:pPr>
      <w:jc w:val="right"/>
    </w:pPr>
    <w:r>
      <w:rPr>
        <w:color w:val="595959"/>
        <w:sz w:val="16"/>
        <w:szCs w:val="16"/>
      </w:rPr>
      <w:t>NASC — Pre-Seed Screening Memorandum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15FBB"/>
    <w:multiLevelType w:val="hybridMultilevel"/>
    <w:tmpl w:val="B170BB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580FB3"/>
    <w:multiLevelType w:val="hybridMultilevel"/>
    <w:tmpl w:val="D7464F90"/>
    <w:lvl w:ilvl="0" w:tplc="AB0C683E">
      <w:start w:val="1"/>
      <w:numFmt w:val="bullet"/>
      <w:lvlText w:val="●"/>
      <w:lvlJc w:val="left"/>
      <w:pPr>
        <w:ind w:left="720" w:hanging="360"/>
      </w:pPr>
    </w:lvl>
    <w:lvl w:ilvl="1" w:tplc="6D98DA7C">
      <w:start w:val="1"/>
      <w:numFmt w:val="bullet"/>
      <w:lvlText w:val="○"/>
      <w:lvlJc w:val="left"/>
      <w:pPr>
        <w:ind w:left="1440" w:hanging="360"/>
      </w:pPr>
    </w:lvl>
    <w:lvl w:ilvl="2" w:tplc="6A0CE2BC">
      <w:start w:val="1"/>
      <w:numFmt w:val="bullet"/>
      <w:lvlText w:val="■"/>
      <w:lvlJc w:val="left"/>
      <w:pPr>
        <w:ind w:left="2160" w:hanging="360"/>
      </w:pPr>
    </w:lvl>
    <w:lvl w:ilvl="3" w:tplc="E3782BC8">
      <w:start w:val="1"/>
      <w:numFmt w:val="bullet"/>
      <w:lvlText w:val="●"/>
      <w:lvlJc w:val="left"/>
      <w:pPr>
        <w:ind w:left="2880" w:hanging="360"/>
      </w:pPr>
    </w:lvl>
    <w:lvl w:ilvl="4" w:tplc="DF9C0BC8">
      <w:start w:val="1"/>
      <w:numFmt w:val="bullet"/>
      <w:lvlText w:val="○"/>
      <w:lvlJc w:val="left"/>
      <w:pPr>
        <w:ind w:left="3600" w:hanging="360"/>
      </w:pPr>
    </w:lvl>
    <w:lvl w:ilvl="5" w:tplc="4C5CB65A">
      <w:start w:val="1"/>
      <w:numFmt w:val="bullet"/>
      <w:lvlText w:val="■"/>
      <w:lvlJc w:val="left"/>
      <w:pPr>
        <w:ind w:left="4320" w:hanging="360"/>
      </w:pPr>
    </w:lvl>
    <w:lvl w:ilvl="6" w:tplc="336C3550">
      <w:start w:val="1"/>
      <w:numFmt w:val="bullet"/>
      <w:lvlText w:val="●"/>
      <w:lvlJc w:val="left"/>
      <w:pPr>
        <w:ind w:left="5040" w:hanging="360"/>
      </w:pPr>
    </w:lvl>
    <w:lvl w:ilvl="7" w:tplc="AE2EA9D6">
      <w:start w:val="1"/>
      <w:numFmt w:val="bullet"/>
      <w:lvlText w:val="●"/>
      <w:lvlJc w:val="left"/>
      <w:pPr>
        <w:ind w:left="5760" w:hanging="360"/>
      </w:pPr>
    </w:lvl>
    <w:lvl w:ilvl="8" w:tplc="EF80AC56">
      <w:start w:val="1"/>
      <w:numFmt w:val="bullet"/>
      <w:lvlText w:val="●"/>
      <w:lvlJc w:val="left"/>
      <w:pPr>
        <w:ind w:left="6480" w:hanging="360"/>
      </w:pPr>
    </w:lvl>
  </w:abstractNum>
  <w:abstractNum w:abstractNumId="2" w15:restartNumberingAfterBreak="0">
    <w:nsid w:val="391B7479"/>
    <w:multiLevelType w:val="hybridMultilevel"/>
    <w:tmpl w:val="0D7CC106"/>
    <w:lvl w:ilvl="0" w:tplc="B63EDF8A">
      <w:start w:val="1"/>
      <w:numFmt w:val="bullet"/>
      <w:lvlText w:val="•"/>
      <w:lvlJc w:val="left"/>
      <w:pPr>
        <w:ind w:left="460" w:hanging="260"/>
      </w:pPr>
    </w:lvl>
    <w:lvl w:ilvl="1" w:tplc="58F6328C">
      <w:start w:val="1"/>
      <w:numFmt w:val="bullet"/>
      <w:lvlText w:val="–"/>
      <w:lvlJc w:val="left"/>
      <w:pPr>
        <w:ind w:left="820" w:hanging="260"/>
      </w:pPr>
    </w:lvl>
    <w:lvl w:ilvl="2" w:tplc="97F06CFA">
      <w:numFmt w:val="decimal"/>
      <w:lvlText w:val=""/>
      <w:lvlJc w:val="left"/>
    </w:lvl>
    <w:lvl w:ilvl="3" w:tplc="3BBAA13E">
      <w:numFmt w:val="decimal"/>
      <w:lvlText w:val=""/>
      <w:lvlJc w:val="left"/>
    </w:lvl>
    <w:lvl w:ilvl="4" w:tplc="4BEE6390">
      <w:numFmt w:val="decimal"/>
      <w:lvlText w:val=""/>
      <w:lvlJc w:val="left"/>
    </w:lvl>
    <w:lvl w:ilvl="5" w:tplc="12825FCA">
      <w:numFmt w:val="decimal"/>
      <w:lvlText w:val=""/>
      <w:lvlJc w:val="left"/>
    </w:lvl>
    <w:lvl w:ilvl="6" w:tplc="64FEC762">
      <w:numFmt w:val="decimal"/>
      <w:lvlText w:val=""/>
      <w:lvlJc w:val="left"/>
    </w:lvl>
    <w:lvl w:ilvl="7" w:tplc="78E09B54">
      <w:numFmt w:val="decimal"/>
      <w:lvlText w:val=""/>
      <w:lvlJc w:val="left"/>
    </w:lvl>
    <w:lvl w:ilvl="8" w:tplc="86C25E56">
      <w:numFmt w:val="decimal"/>
      <w:lvlText w:val=""/>
      <w:lvlJc w:val="left"/>
    </w:lvl>
  </w:abstractNum>
  <w:abstractNum w:abstractNumId="3" w15:restartNumberingAfterBreak="0">
    <w:nsid w:val="41470E42"/>
    <w:multiLevelType w:val="hybridMultilevel"/>
    <w:tmpl w:val="7340C5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55B414E8"/>
    <w:multiLevelType w:val="hybridMultilevel"/>
    <w:tmpl w:val="7786ABD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67527605">
    <w:abstractNumId w:val="1"/>
    <w:lvlOverride w:ilvl="0">
      <w:startOverride w:val="1"/>
    </w:lvlOverride>
  </w:num>
  <w:num w:numId="2" w16cid:durableId="238759490">
    <w:abstractNumId w:val="2"/>
    <w:lvlOverride w:ilvl="0">
      <w:startOverride w:val="1"/>
    </w:lvlOverride>
  </w:num>
  <w:num w:numId="3" w16cid:durableId="365258046">
    <w:abstractNumId w:val="4"/>
  </w:num>
  <w:num w:numId="4" w16cid:durableId="84477">
    <w:abstractNumId w:val="3"/>
  </w:num>
  <w:num w:numId="5" w16cid:durableId="143806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390"/>
    <w:rsid w:val="00073293"/>
    <w:rsid w:val="00087EDC"/>
    <w:rsid w:val="000E0D9B"/>
    <w:rsid w:val="000E39B9"/>
    <w:rsid w:val="00151645"/>
    <w:rsid w:val="0016004F"/>
    <w:rsid w:val="001A7BC8"/>
    <w:rsid w:val="001C73D9"/>
    <w:rsid w:val="00220613"/>
    <w:rsid w:val="00232C5C"/>
    <w:rsid w:val="00247728"/>
    <w:rsid w:val="00257E77"/>
    <w:rsid w:val="0026060E"/>
    <w:rsid w:val="002D63A1"/>
    <w:rsid w:val="002E3E99"/>
    <w:rsid w:val="002E63A4"/>
    <w:rsid w:val="00336EB6"/>
    <w:rsid w:val="00385660"/>
    <w:rsid w:val="003A28DB"/>
    <w:rsid w:val="003C3E3A"/>
    <w:rsid w:val="003D0D44"/>
    <w:rsid w:val="003D1E2A"/>
    <w:rsid w:val="00427B20"/>
    <w:rsid w:val="004456FC"/>
    <w:rsid w:val="0044573C"/>
    <w:rsid w:val="00486AD9"/>
    <w:rsid w:val="004A127D"/>
    <w:rsid w:val="004C0C61"/>
    <w:rsid w:val="00517D34"/>
    <w:rsid w:val="00522358"/>
    <w:rsid w:val="0056086B"/>
    <w:rsid w:val="00561572"/>
    <w:rsid w:val="005819EA"/>
    <w:rsid w:val="005B0420"/>
    <w:rsid w:val="005B6EA1"/>
    <w:rsid w:val="005C3E9E"/>
    <w:rsid w:val="005C65A6"/>
    <w:rsid w:val="005D4C0A"/>
    <w:rsid w:val="005D6BA6"/>
    <w:rsid w:val="00611974"/>
    <w:rsid w:val="00640B90"/>
    <w:rsid w:val="00666306"/>
    <w:rsid w:val="00685CD1"/>
    <w:rsid w:val="006A27B7"/>
    <w:rsid w:val="006E496A"/>
    <w:rsid w:val="007142F4"/>
    <w:rsid w:val="00730851"/>
    <w:rsid w:val="0074335F"/>
    <w:rsid w:val="00745629"/>
    <w:rsid w:val="007518D6"/>
    <w:rsid w:val="00757387"/>
    <w:rsid w:val="007753ED"/>
    <w:rsid w:val="00776D16"/>
    <w:rsid w:val="007B628D"/>
    <w:rsid w:val="007E5126"/>
    <w:rsid w:val="007F1929"/>
    <w:rsid w:val="008507B9"/>
    <w:rsid w:val="00853DEF"/>
    <w:rsid w:val="008719A6"/>
    <w:rsid w:val="0088227C"/>
    <w:rsid w:val="008A1E05"/>
    <w:rsid w:val="008C1359"/>
    <w:rsid w:val="008D4A58"/>
    <w:rsid w:val="00910CA9"/>
    <w:rsid w:val="00922535"/>
    <w:rsid w:val="00926A6A"/>
    <w:rsid w:val="009B5FBF"/>
    <w:rsid w:val="009C17F5"/>
    <w:rsid w:val="00A3252A"/>
    <w:rsid w:val="00A67906"/>
    <w:rsid w:val="00A812CF"/>
    <w:rsid w:val="00A93C9B"/>
    <w:rsid w:val="00AA20AD"/>
    <w:rsid w:val="00AB5096"/>
    <w:rsid w:val="00AC5CF7"/>
    <w:rsid w:val="00AF44F2"/>
    <w:rsid w:val="00B07972"/>
    <w:rsid w:val="00B42FD2"/>
    <w:rsid w:val="00B878C4"/>
    <w:rsid w:val="00B94966"/>
    <w:rsid w:val="00BE667B"/>
    <w:rsid w:val="00C01948"/>
    <w:rsid w:val="00C57837"/>
    <w:rsid w:val="00C64714"/>
    <w:rsid w:val="00C656DB"/>
    <w:rsid w:val="00C75061"/>
    <w:rsid w:val="00C82F92"/>
    <w:rsid w:val="00CA30A2"/>
    <w:rsid w:val="00CA4A3B"/>
    <w:rsid w:val="00CE408A"/>
    <w:rsid w:val="00CF495C"/>
    <w:rsid w:val="00D250C5"/>
    <w:rsid w:val="00D8485C"/>
    <w:rsid w:val="00DA1171"/>
    <w:rsid w:val="00DB53E1"/>
    <w:rsid w:val="00E1722D"/>
    <w:rsid w:val="00E34114"/>
    <w:rsid w:val="00E53E61"/>
    <w:rsid w:val="00E80621"/>
    <w:rsid w:val="00E95035"/>
    <w:rsid w:val="00E97160"/>
    <w:rsid w:val="00EA145A"/>
    <w:rsid w:val="00EE5DEC"/>
    <w:rsid w:val="00EE7390"/>
    <w:rsid w:val="00F74B68"/>
    <w:rsid w:val="00FB0261"/>
    <w:rsid w:val="00FC2F6D"/>
    <w:rsid w:val="00FE4D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183CD"/>
  <w15:docId w15:val="{354FEAF3-1B47-5749-9A48-0E549BA9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252A"/>
    <w:pPr>
      <w:tabs>
        <w:tab w:val="center" w:pos="4513"/>
        <w:tab w:val="right" w:pos="9026"/>
      </w:tabs>
    </w:pPr>
  </w:style>
  <w:style w:type="character" w:customStyle="1" w:styleId="HeaderChar">
    <w:name w:val="Header Char"/>
    <w:basedOn w:val="DefaultParagraphFont"/>
    <w:link w:val="Header"/>
    <w:uiPriority w:val="99"/>
    <w:rsid w:val="00A3252A"/>
  </w:style>
  <w:style w:type="paragraph" w:styleId="Footer">
    <w:name w:val="footer"/>
    <w:basedOn w:val="Normal"/>
    <w:link w:val="FooterChar"/>
    <w:uiPriority w:val="99"/>
    <w:unhideWhenUsed/>
    <w:rsid w:val="00A3252A"/>
    <w:pPr>
      <w:tabs>
        <w:tab w:val="center" w:pos="4513"/>
        <w:tab w:val="right" w:pos="9026"/>
      </w:tabs>
    </w:pPr>
  </w:style>
  <w:style w:type="character" w:customStyle="1" w:styleId="FooterChar">
    <w:name w:val="Footer Char"/>
    <w:basedOn w:val="DefaultParagraphFont"/>
    <w:link w:val="Footer"/>
    <w:uiPriority w:val="99"/>
    <w:rsid w:val="00A32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614C918-CF90-4061-8A15-630244EFB5BF}"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AU"/>
        </a:p>
      </dgm:t>
    </dgm:pt>
    <dgm:pt modelId="{4E476B17-CEEB-4123-AA59-24823E127DB9}">
      <dgm:prSet phldrT="[Text]" custT="1"/>
      <dgm:spPr/>
      <dgm:t>
        <a:bodyPr/>
        <a:lstStyle/>
        <a:p>
          <a:r>
            <a:rPr lang="en-AU" sz="800"/>
            <a:t>5th Feb 2024 </a:t>
          </a:r>
        </a:p>
        <a:p>
          <a:r>
            <a:rPr lang="en-AU" sz="700" b="1" i="1"/>
            <a:t>PhD Commenced</a:t>
          </a:r>
        </a:p>
      </dgm:t>
    </dgm:pt>
    <dgm:pt modelId="{DE4704B0-3182-4915-A697-78D4E6402475}" type="parTrans" cxnId="{EFA54FA6-2CB5-4B64-B460-92788D8723E1}">
      <dgm:prSet/>
      <dgm:spPr/>
      <dgm:t>
        <a:bodyPr/>
        <a:lstStyle/>
        <a:p>
          <a:endParaRPr lang="en-AU"/>
        </a:p>
      </dgm:t>
    </dgm:pt>
    <dgm:pt modelId="{45F2F77F-0BC3-40BA-8D2F-BC48B01056B2}" type="sibTrans" cxnId="{EFA54FA6-2CB5-4B64-B460-92788D8723E1}">
      <dgm:prSet/>
      <dgm:spPr/>
      <dgm:t>
        <a:bodyPr/>
        <a:lstStyle/>
        <a:p>
          <a:endParaRPr lang="en-AU"/>
        </a:p>
      </dgm:t>
    </dgm:pt>
    <dgm:pt modelId="{942CD1B9-F705-4397-9C49-7D572AFDA5FB}">
      <dgm:prSet phldrT="[Text]" custT="1"/>
      <dgm:spPr/>
      <dgm:t>
        <a:bodyPr/>
        <a:lstStyle/>
        <a:p>
          <a:r>
            <a:rPr lang="en-AU" sz="800"/>
            <a:t>15th July 2024 </a:t>
          </a:r>
        </a:p>
        <a:p>
          <a:r>
            <a:rPr lang="en-AU" sz="700" b="1" i="1"/>
            <a:t>NIPhD Program Commenced</a:t>
          </a:r>
        </a:p>
      </dgm:t>
    </dgm:pt>
    <dgm:pt modelId="{0409F8B7-BCAF-48A6-B20C-E60B4E928953}" type="parTrans" cxnId="{28E73C39-BBBC-4252-89DB-B90B121D6CBB}">
      <dgm:prSet/>
      <dgm:spPr/>
      <dgm:t>
        <a:bodyPr/>
        <a:lstStyle/>
        <a:p>
          <a:endParaRPr lang="en-AU"/>
        </a:p>
      </dgm:t>
    </dgm:pt>
    <dgm:pt modelId="{E52B4EB6-2D22-4EDB-948C-57286157692F}" type="sibTrans" cxnId="{28E73C39-BBBC-4252-89DB-B90B121D6CBB}">
      <dgm:prSet/>
      <dgm:spPr/>
      <dgm:t>
        <a:bodyPr/>
        <a:lstStyle/>
        <a:p>
          <a:endParaRPr lang="en-AU"/>
        </a:p>
      </dgm:t>
    </dgm:pt>
    <dgm:pt modelId="{76EEF4D4-5D48-4239-B255-857C7A182D6B}">
      <dgm:prSet phldrT="[Text]" custT="1"/>
      <dgm:spPr/>
      <dgm:t>
        <a:bodyPr/>
        <a:lstStyle/>
        <a:p>
          <a:r>
            <a:rPr lang="en-AU" sz="900"/>
            <a:t>1st October 2024 </a:t>
          </a:r>
        </a:p>
        <a:p>
          <a:r>
            <a:rPr lang="en-AU" sz="700" b="1" i="1"/>
            <a:t>NIPhD payment not met</a:t>
          </a:r>
        </a:p>
      </dgm:t>
    </dgm:pt>
    <dgm:pt modelId="{02275505-8944-4442-BCA6-10771CE169BD}" type="parTrans" cxnId="{1B058125-B084-4EDA-B862-E074F272AE2D}">
      <dgm:prSet/>
      <dgm:spPr/>
      <dgm:t>
        <a:bodyPr/>
        <a:lstStyle/>
        <a:p>
          <a:endParaRPr lang="en-AU"/>
        </a:p>
      </dgm:t>
    </dgm:pt>
    <dgm:pt modelId="{C3C2BBF3-0556-4847-A3C6-8FEB1CD34195}" type="sibTrans" cxnId="{1B058125-B084-4EDA-B862-E074F272AE2D}">
      <dgm:prSet/>
      <dgm:spPr/>
      <dgm:t>
        <a:bodyPr/>
        <a:lstStyle/>
        <a:p>
          <a:endParaRPr lang="en-AU"/>
        </a:p>
      </dgm:t>
    </dgm:pt>
    <dgm:pt modelId="{91204B15-CE20-4050-8A40-0666AABDAB90}">
      <dgm:prSet phldrT="[Text]" custT="1"/>
      <dgm:spPr/>
      <dgm:t>
        <a:bodyPr/>
        <a:lstStyle/>
        <a:p>
          <a:r>
            <a:rPr lang="en-AU" sz="800"/>
            <a:t>7th April 2025 </a:t>
          </a:r>
        </a:p>
        <a:p>
          <a:r>
            <a:rPr lang="en-AU" sz="700" b="1" i="1"/>
            <a:t>Resignation</a:t>
          </a:r>
        </a:p>
      </dgm:t>
    </dgm:pt>
    <dgm:pt modelId="{F21F72E7-BD89-4E81-90F3-97708D03EBC3}" type="parTrans" cxnId="{54FA382D-EC04-43A0-A7EA-D4BF26D5FE49}">
      <dgm:prSet/>
      <dgm:spPr/>
      <dgm:t>
        <a:bodyPr/>
        <a:lstStyle/>
        <a:p>
          <a:endParaRPr lang="en-AU"/>
        </a:p>
      </dgm:t>
    </dgm:pt>
    <dgm:pt modelId="{6DD9108D-FD7D-42D9-BD05-04228160AAB6}" type="sibTrans" cxnId="{54FA382D-EC04-43A0-A7EA-D4BF26D5FE49}">
      <dgm:prSet/>
      <dgm:spPr/>
      <dgm:t>
        <a:bodyPr/>
        <a:lstStyle/>
        <a:p>
          <a:endParaRPr lang="en-AU"/>
        </a:p>
      </dgm:t>
    </dgm:pt>
    <dgm:pt modelId="{B79D976F-68E1-4E37-8C1F-61E5FE9E2AC0}">
      <dgm:prSet phldrT="[Text]" custT="1"/>
      <dgm:spPr/>
      <dgm:t>
        <a:bodyPr/>
        <a:lstStyle/>
        <a:p>
          <a:r>
            <a:rPr lang="en-AU" sz="800"/>
            <a:t>11st July 2025 </a:t>
          </a:r>
        </a:p>
        <a:p>
          <a:r>
            <a:rPr lang="en-AU" sz="700" b="1" i="1"/>
            <a:t>SeaCulture Registration</a:t>
          </a:r>
        </a:p>
      </dgm:t>
    </dgm:pt>
    <dgm:pt modelId="{9DB721F1-9EA2-4511-89BA-366F2DF27807}" type="parTrans" cxnId="{15E415B4-916F-41BB-BC67-6DE36FF7D4A8}">
      <dgm:prSet/>
      <dgm:spPr/>
      <dgm:t>
        <a:bodyPr/>
        <a:lstStyle/>
        <a:p>
          <a:endParaRPr lang="en-AU"/>
        </a:p>
      </dgm:t>
    </dgm:pt>
    <dgm:pt modelId="{C4F0C06E-172C-45AA-A85F-0E4C89FA0F33}" type="sibTrans" cxnId="{15E415B4-916F-41BB-BC67-6DE36FF7D4A8}">
      <dgm:prSet/>
      <dgm:spPr/>
      <dgm:t>
        <a:bodyPr/>
        <a:lstStyle/>
        <a:p>
          <a:endParaRPr lang="en-AU"/>
        </a:p>
      </dgm:t>
    </dgm:pt>
    <dgm:pt modelId="{2213FDE8-F2A0-4143-AF35-D84891891896}">
      <dgm:prSet phldrT="[Text]"/>
      <dgm:spPr/>
      <dgm:t>
        <a:bodyPr/>
        <a:lstStyle/>
        <a:p>
          <a:r>
            <a:rPr lang="en-AU" sz="600"/>
            <a:t>Full-time employee at Canopy Blue</a:t>
          </a:r>
        </a:p>
      </dgm:t>
    </dgm:pt>
    <dgm:pt modelId="{C86C4F92-3D16-41FC-B184-EE0CF4F38444}" type="parTrans" cxnId="{072DA8A1-9DF0-4E3C-81FD-34A275838C9E}">
      <dgm:prSet/>
      <dgm:spPr/>
      <dgm:t>
        <a:bodyPr/>
        <a:lstStyle/>
        <a:p>
          <a:endParaRPr lang="en-AU"/>
        </a:p>
      </dgm:t>
    </dgm:pt>
    <dgm:pt modelId="{EC147C4E-D5B8-49D3-AD20-DD29F02A55ED}" type="sibTrans" cxnId="{072DA8A1-9DF0-4E3C-81FD-34A275838C9E}">
      <dgm:prSet/>
      <dgm:spPr/>
      <dgm:t>
        <a:bodyPr/>
        <a:lstStyle/>
        <a:p>
          <a:endParaRPr lang="en-AU"/>
        </a:p>
      </dgm:t>
    </dgm:pt>
    <dgm:pt modelId="{BEF680B9-ABF7-452A-B31B-2BF9E28C236C}">
      <dgm:prSet phldrT="[Text]"/>
      <dgm:spPr/>
      <dgm:t>
        <a:bodyPr/>
        <a:lstStyle/>
        <a:p>
          <a:r>
            <a:rPr lang="en-AU" sz="600"/>
            <a:t>Focus: Project planning &amp; Literature review (no IP Generated)</a:t>
          </a:r>
        </a:p>
      </dgm:t>
    </dgm:pt>
    <dgm:pt modelId="{DF902E3F-DB3E-4677-BAF2-D80052CA3A76}" type="parTrans" cxnId="{5123D9E8-AB0B-4696-87BC-1C8B37DB889E}">
      <dgm:prSet/>
      <dgm:spPr/>
      <dgm:t>
        <a:bodyPr/>
        <a:lstStyle/>
        <a:p>
          <a:endParaRPr lang="en-AU"/>
        </a:p>
      </dgm:t>
    </dgm:pt>
    <dgm:pt modelId="{7C043FAB-7CCF-4C5F-81C4-9B86043E4247}" type="sibTrans" cxnId="{5123D9E8-AB0B-4696-87BC-1C8B37DB889E}">
      <dgm:prSet/>
      <dgm:spPr/>
      <dgm:t>
        <a:bodyPr/>
        <a:lstStyle/>
        <a:p>
          <a:endParaRPr lang="en-AU"/>
        </a:p>
      </dgm:t>
    </dgm:pt>
    <dgm:pt modelId="{7E484CC9-C392-4E1D-97E4-A58A8E2C5477}">
      <dgm:prSet phldrT="[Text]"/>
      <dgm:spPr/>
      <dgm:t>
        <a:bodyPr/>
        <a:lstStyle/>
        <a:p>
          <a:r>
            <a:rPr lang="en-AU" sz="600"/>
            <a:t>Full-time employee at Canopy Blue with 30hrs alloction to PhD</a:t>
          </a:r>
        </a:p>
      </dgm:t>
    </dgm:pt>
    <dgm:pt modelId="{A95229AC-07BD-4FB1-BC7D-93EF0DCFE172}" type="parTrans" cxnId="{C3AB4A2A-0C43-4F95-86BA-0EAAFD82BE9B}">
      <dgm:prSet/>
      <dgm:spPr/>
      <dgm:t>
        <a:bodyPr/>
        <a:lstStyle/>
        <a:p>
          <a:endParaRPr lang="en-AU"/>
        </a:p>
      </dgm:t>
    </dgm:pt>
    <dgm:pt modelId="{775182E6-D9E1-4CF6-8916-D084143E701C}" type="sibTrans" cxnId="{C3AB4A2A-0C43-4F95-86BA-0EAAFD82BE9B}">
      <dgm:prSet/>
      <dgm:spPr/>
      <dgm:t>
        <a:bodyPr/>
        <a:lstStyle/>
        <a:p>
          <a:endParaRPr lang="en-AU"/>
        </a:p>
      </dgm:t>
    </dgm:pt>
    <dgm:pt modelId="{9B7AAAB8-7415-4080-B789-BDC5FB0AEB2C}">
      <dgm:prSet phldrT="[Text]"/>
      <dgm:spPr/>
      <dgm:t>
        <a:bodyPr/>
        <a:lstStyle/>
        <a:p>
          <a:r>
            <a:rPr lang="en-AU" sz="600"/>
            <a:t>Focus: Research Proposal &amp; Literature review (no IP Generated)</a:t>
          </a:r>
        </a:p>
      </dgm:t>
    </dgm:pt>
    <dgm:pt modelId="{6F8FBECE-177D-48DF-8414-95D3AB2057B4}" type="parTrans" cxnId="{3483FC89-DC9C-4DFB-8409-53787A88ADAF}">
      <dgm:prSet/>
      <dgm:spPr/>
      <dgm:t>
        <a:bodyPr/>
        <a:lstStyle/>
        <a:p>
          <a:endParaRPr lang="en-AU"/>
        </a:p>
      </dgm:t>
    </dgm:pt>
    <dgm:pt modelId="{ED757170-F984-429C-BBF4-318132BF3757}" type="sibTrans" cxnId="{3483FC89-DC9C-4DFB-8409-53787A88ADAF}">
      <dgm:prSet/>
      <dgm:spPr/>
      <dgm:t>
        <a:bodyPr/>
        <a:lstStyle/>
        <a:p>
          <a:endParaRPr lang="en-AU"/>
        </a:p>
      </dgm:t>
    </dgm:pt>
    <dgm:pt modelId="{5DD20336-7D35-4A73-91CE-9A6931C2329E}">
      <dgm:prSet phldrT="[Text]"/>
      <dgm:spPr/>
      <dgm:t>
        <a:bodyPr/>
        <a:lstStyle/>
        <a:p>
          <a:r>
            <a:rPr lang="en-AU" sz="700"/>
            <a:t>Canopy Blue do not make payment for initial trials</a:t>
          </a:r>
        </a:p>
      </dgm:t>
    </dgm:pt>
    <dgm:pt modelId="{F58BD2F9-A0D5-4633-BA40-A98CCD94A791}" type="parTrans" cxnId="{E31CB5F5-C5FA-4416-ADA1-A1A7037ED55A}">
      <dgm:prSet/>
      <dgm:spPr/>
      <dgm:t>
        <a:bodyPr/>
        <a:lstStyle/>
        <a:p>
          <a:endParaRPr lang="en-AU"/>
        </a:p>
      </dgm:t>
    </dgm:pt>
    <dgm:pt modelId="{EDAC0284-8A71-4F76-AC09-E575A5A74DEC}" type="sibTrans" cxnId="{E31CB5F5-C5FA-4416-ADA1-A1A7037ED55A}">
      <dgm:prSet/>
      <dgm:spPr/>
      <dgm:t>
        <a:bodyPr/>
        <a:lstStyle/>
        <a:p>
          <a:endParaRPr lang="en-AU"/>
        </a:p>
      </dgm:t>
    </dgm:pt>
    <dgm:pt modelId="{536C0ABC-7260-463F-83A4-5FE6F19ADA7A}">
      <dgm:prSet phldrT="[Text]"/>
      <dgm:spPr/>
      <dgm:t>
        <a:bodyPr/>
        <a:lstStyle/>
        <a:p>
          <a:r>
            <a:rPr lang="en-AU" sz="700"/>
            <a:t>Focus: Confirmation of Canditure (no IP Generated)</a:t>
          </a:r>
        </a:p>
      </dgm:t>
    </dgm:pt>
    <dgm:pt modelId="{3B840BC2-981D-4B12-BA5E-D3A18EE5E52C}" type="parTrans" cxnId="{CA3EC068-3903-4B04-91EB-41DCF0B6725A}">
      <dgm:prSet/>
      <dgm:spPr/>
      <dgm:t>
        <a:bodyPr/>
        <a:lstStyle/>
        <a:p>
          <a:endParaRPr lang="en-AU"/>
        </a:p>
      </dgm:t>
    </dgm:pt>
    <dgm:pt modelId="{EF45D583-B673-440C-9156-AB747BA3E2B3}" type="sibTrans" cxnId="{CA3EC068-3903-4B04-91EB-41DCF0B6725A}">
      <dgm:prSet/>
      <dgm:spPr/>
      <dgm:t>
        <a:bodyPr/>
        <a:lstStyle/>
        <a:p>
          <a:endParaRPr lang="en-AU"/>
        </a:p>
      </dgm:t>
    </dgm:pt>
    <dgm:pt modelId="{C78C7DCC-6076-4C53-98CA-07B00E5C28DE}">
      <dgm:prSet phldrT="[Text]"/>
      <dgm:spPr/>
      <dgm:t>
        <a:bodyPr/>
        <a:lstStyle/>
        <a:p>
          <a:r>
            <a:rPr lang="en-AU" sz="600"/>
            <a:t>Focus: Species selection trials undertaken (no IP generated)</a:t>
          </a:r>
        </a:p>
      </dgm:t>
    </dgm:pt>
    <dgm:pt modelId="{9BB08039-E5E2-4F14-A31C-3B905F67E023}" type="parTrans" cxnId="{E70C5B4D-B5EE-4EFD-A2BA-7C1C39DA494B}">
      <dgm:prSet/>
      <dgm:spPr/>
      <dgm:t>
        <a:bodyPr/>
        <a:lstStyle/>
        <a:p>
          <a:endParaRPr lang="en-AU"/>
        </a:p>
      </dgm:t>
    </dgm:pt>
    <dgm:pt modelId="{4BAA1827-221E-4E27-BB3B-227B225FFC55}" type="sibTrans" cxnId="{E70C5B4D-B5EE-4EFD-A2BA-7C1C39DA494B}">
      <dgm:prSet/>
      <dgm:spPr/>
      <dgm:t>
        <a:bodyPr/>
        <a:lstStyle/>
        <a:p>
          <a:endParaRPr lang="en-AU"/>
        </a:p>
      </dgm:t>
    </dgm:pt>
    <dgm:pt modelId="{9F153521-B55C-46A4-B0F7-9CAF500D4397}">
      <dgm:prSet phldrT="[Text]"/>
      <dgm:spPr/>
      <dgm:t>
        <a:bodyPr/>
        <a:lstStyle/>
        <a:p>
          <a:r>
            <a:rPr lang="en-AU" sz="600"/>
            <a:t>Canopy Blue employment &amp; NIPhD ceased</a:t>
          </a:r>
        </a:p>
      </dgm:t>
    </dgm:pt>
    <dgm:pt modelId="{D346DDAC-F0F3-4B48-AF8C-A2227F385174}" type="parTrans" cxnId="{CA951045-2226-44D9-800F-95533747ED87}">
      <dgm:prSet/>
      <dgm:spPr/>
      <dgm:t>
        <a:bodyPr/>
        <a:lstStyle/>
        <a:p>
          <a:endParaRPr lang="en-AU"/>
        </a:p>
      </dgm:t>
    </dgm:pt>
    <dgm:pt modelId="{9698B9A5-65F8-4553-ACCE-E876CC3F15FD}" type="sibTrans" cxnId="{CA951045-2226-44D9-800F-95533747ED87}">
      <dgm:prSet/>
      <dgm:spPr/>
      <dgm:t>
        <a:bodyPr/>
        <a:lstStyle/>
        <a:p>
          <a:endParaRPr lang="en-AU"/>
        </a:p>
      </dgm:t>
    </dgm:pt>
    <dgm:pt modelId="{2977CA9E-D9A3-4B12-A88B-74B120FE8137}">
      <dgm:prSet phldrT="[Text]" custT="1"/>
      <dgm:spPr/>
      <dgm:t>
        <a:bodyPr/>
        <a:lstStyle/>
        <a:p>
          <a:r>
            <a:rPr lang="en-AU" sz="800"/>
            <a:t>13th April 2026 </a:t>
          </a:r>
        </a:p>
        <a:p>
          <a:r>
            <a:rPr lang="en-AU" sz="700" b="1" i="1"/>
            <a:t>Seaculture Employment Agreement</a:t>
          </a:r>
          <a:endParaRPr lang="en-AU" sz="700" i="1"/>
        </a:p>
      </dgm:t>
    </dgm:pt>
    <dgm:pt modelId="{C33ED8B9-EE5D-4AA1-B430-1E9F6DA5BD8D}" type="parTrans" cxnId="{6F952628-3E50-4156-9E24-37F4AAD68B56}">
      <dgm:prSet/>
      <dgm:spPr/>
      <dgm:t>
        <a:bodyPr/>
        <a:lstStyle/>
        <a:p>
          <a:endParaRPr lang="en-AU"/>
        </a:p>
      </dgm:t>
    </dgm:pt>
    <dgm:pt modelId="{BDDD9388-C3A8-4C88-8937-12614D5F1CD2}" type="sibTrans" cxnId="{6F952628-3E50-4156-9E24-37F4AAD68B56}">
      <dgm:prSet/>
      <dgm:spPr/>
      <dgm:t>
        <a:bodyPr/>
        <a:lstStyle/>
        <a:p>
          <a:endParaRPr lang="en-AU"/>
        </a:p>
      </dgm:t>
    </dgm:pt>
    <dgm:pt modelId="{AB3321A6-3282-4197-9B90-1C50B9D7F601}">
      <dgm:prSet phldrT="[Text]"/>
      <dgm:spPr/>
      <dgm:t>
        <a:bodyPr/>
        <a:lstStyle/>
        <a:p>
          <a:r>
            <a:rPr lang="en-AU" sz="600"/>
            <a:t>Alison Duguid assigns all IP to SeaCulture during the course of employment</a:t>
          </a:r>
        </a:p>
      </dgm:t>
    </dgm:pt>
    <dgm:pt modelId="{25AB3E42-6403-4A14-860C-FE2494EA9427}" type="parTrans" cxnId="{4EAC93AD-D9C6-4D6F-91E1-1BDCEE158905}">
      <dgm:prSet/>
      <dgm:spPr/>
      <dgm:t>
        <a:bodyPr/>
        <a:lstStyle/>
        <a:p>
          <a:endParaRPr lang="en-AU"/>
        </a:p>
      </dgm:t>
    </dgm:pt>
    <dgm:pt modelId="{E5E39199-7704-4DBA-B731-64A9D00A2ACC}" type="sibTrans" cxnId="{4EAC93AD-D9C6-4D6F-91E1-1BDCEE158905}">
      <dgm:prSet/>
      <dgm:spPr/>
      <dgm:t>
        <a:bodyPr/>
        <a:lstStyle/>
        <a:p>
          <a:endParaRPr lang="en-AU"/>
        </a:p>
      </dgm:t>
    </dgm:pt>
    <dgm:pt modelId="{CAFD789D-9938-451B-B06D-F25F647291F0}">
      <dgm:prSet phldrT="[Text]"/>
      <dgm:spPr/>
      <dgm:t>
        <a:bodyPr/>
        <a:lstStyle/>
        <a:p>
          <a:r>
            <a:rPr lang="en-AU" sz="600"/>
            <a:t>Student IP generated, ownership with Alison Duguid</a:t>
          </a:r>
        </a:p>
      </dgm:t>
    </dgm:pt>
    <dgm:pt modelId="{B2941A88-62EC-4228-B00D-4D9C6A254636}" type="parTrans" cxnId="{9544C986-47A5-4704-A122-32D6D5B562A2}">
      <dgm:prSet/>
      <dgm:spPr/>
      <dgm:t>
        <a:bodyPr/>
        <a:lstStyle/>
        <a:p>
          <a:endParaRPr lang="en-AU"/>
        </a:p>
      </dgm:t>
    </dgm:pt>
    <dgm:pt modelId="{71ED239F-A92A-4C30-ACFF-47CE98E65F09}" type="sibTrans" cxnId="{9544C986-47A5-4704-A122-32D6D5B562A2}">
      <dgm:prSet/>
      <dgm:spPr/>
      <dgm:t>
        <a:bodyPr/>
        <a:lstStyle/>
        <a:p>
          <a:endParaRPr lang="en-AU"/>
        </a:p>
      </dgm:t>
    </dgm:pt>
    <dgm:pt modelId="{C69465D0-2CEE-4BFD-AC92-DE0B3A5B9FB2}">
      <dgm:prSet phldrT="[Text]"/>
      <dgm:spPr/>
      <dgm:t>
        <a:bodyPr/>
        <a:lstStyle/>
        <a:p>
          <a:r>
            <a:rPr lang="en-AU" sz="600"/>
            <a:t>Focus: Extraction technique/ soil lab trials (IP Generated)</a:t>
          </a:r>
        </a:p>
      </dgm:t>
    </dgm:pt>
    <dgm:pt modelId="{524855E4-9CA3-41DD-8AC6-83EA16B359E8}" type="parTrans" cxnId="{6334AC39-2C03-49A1-9DFF-1FC44EEDD1D2}">
      <dgm:prSet/>
      <dgm:spPr/>
      <dgm:t>
        <a:bodyPr/>
        <a:lstStyle/>
        <a:p>
          <a:endParaRPr lang="en-AU"/>
        </a:p>
      </dgm:t>
    </dgm:pt>
    <dgm:pt modelId="{A7BD1754-FC0E-40C6-BBCB-68C0F7AF9F52}" type="sibTrans" cxnId="{6334AC39-2C03-49A1-9DFF-1FC44EEDD1D2}">
      <dgm:prSet/>
      <dgm:spPr/>
      <dgm:t>
        <a:bodyPr/>
        <a:lstStyle/>
        <a:p>
          <a:endParaRPr lang="en-AU"/>
        </a:p>
      </dgm:t>
    </dgm:pt>
    <dgm:pt modelId="{E33691A8-4BA7-4D8C-875F-5FCD2D2BE359}">
      <dgm:prSet phldrT="[Text]"/>
      <dgm:spPr/>
      <dgm:t>
        <a:bodyPr/>
        <a:lstStyle/>
        <a:p>
          <a:r>
            <a:rPr lang="en-AU" sz="600"/>
            <a:t>Focus: Site specific soil lab trials (IP Generated)</a:t>
          </a:r>
        </a:p>
      </dgm:t>
    </dgm:pt>
    <dgm:pt modelId="{F9F1715D-793C-4DC9-9091-ACCA032E03C3}" type="parTrans" cxnId="{EAAA0E8E-D909-42A5-8066-D52CC814D619}">
      <dgm:prSet/>
      <dgm:spPr/>
      <dgm:t>
        <a:bodyPr/>
        <a:lstStyle/>
        <a:p>
          <a:endParaRPr lang="en-AU"/>
        </a:p>
      </dgm:t>
    </dgm:pt>
    <dgm:pt modelId="{2172E431-D88D-408E-9546-5B702E688650}" type="sibTrans" cxnId="{EAAA0E8E-D909-42A5-8066-D52CC814D619}">
      <dgm:prSet/>
      <dgm:spPr/>
      <dgm:t>
        <a:bodyPr/>
        <a:lstStyle/>
        <a:p>
          <a:endParaRPr lang="en-AU"/>
        </a:p>
      </dgm:t>
    </dgm:pt>
    <dgm:pt modelId="{0CDF5152-973E-4C0C-A1F1-45DEBB5610EB}" type="pres">
      <dgm:prSet presAssocID="{E614C918-CF90-4061-8A15-630244EFB5BF}" presName="Name0" presStyleCnt="0">
        <dgm:presLayoutVars>
          <dgm:dir/>
          <dgm:resizeHandles val="exact"/>
        </dgm:presLayoutVars>
      </dgm:prSet>
      <dgm:spPr/>
    </dgm:pt>
    <dgm:pt modelId="{F44F1AD9-F27B-4E4D-B93E-16033A0F66A6}" type="pres">
      <dgm:prSet presAssocID="{4E476B17-CEEB-4123-AA59-24823E127DB9}" presName="node" presStyleLbl="node1" presStyleIdx="0" presStyleCnt="6">
        <dgm:presLayoutVars>
          <dgm:bulletEnabled val="1"/>
        </dgm:presLayoutVars>
      </dgm:prSet>
      <dgm:spPr/>
    </dgm:pt>
    <dgm:pt modelId="{3B524DB5-D339-4FCC-A1AA-3BE31B9C54A8}" type="pres">
      <dgm:prSet presAssocID="{45F2F77F-0BC3-40BA-8D2F-BC48B01056B2}" presName="sibTrans" presStyleLbl="sibTrans1D1" presStyleIdx="0" presStyleCnt="5"/>
      <dgm:spPr/>
    </dgm:pt>
    <dgm:pt modelId="{6AE89954-5794-406D-B4FB-0DC339934D42}" type="pres">
      <dgm:prSet presAssocID="{45F2F77F-0BC3-40BA-8D2F-BC48B01056B2}" presName="connectorText" presStyleLbl="sibTrans1D1" presStyleIdx="0" presStyleCnt="5"/>
      <dgm:spPr/>
    </dgm:pt>
    <dgm:pt modelId="{72BC04BC-C62A-4407-8AAF-E3618C65AE45}" type="pres">
      <dgm:prSet presAssocID="{942CD1B9-F705-4397-9C49-7D572AFDA5FB}" presName="node" presStyleLbl="node1" presStyleIdx="1" presStyleCnt="6">
        <dgm:presLayoutVars>
          <dgm:bulletEnabled val="1"/>
        </dgm:presLayoutVars>
      </dgm:prSet>
      <dgm:spPr/>
    </dgm:pt>
    <dgm:pt modelId="{282315FA-32C1-44EE-87E7-AD23C39EDDF7}" type="pres">
      <dgm:prSet presAssocID="{E52B4EB6-2D22-4EDB-948C-57286157692F}" presName="sibTrans" presStyleLbl="sibTrans1D1" presStyleIdx="1" presStyleCnt="5"/>
      <dgm:spPr/>
    </dgm:pt>
    <dgm:pt modelId="{B69A0918-4E06-4644-88D6-FB9E5E0C7A1B}" type="pres">
      <dgm:prSet presAssocID="{E52B4EB6-2D22-4EDB-948C-57286157692F}" presName="connectorText" presStyleLbl="sibTrans1D1" presStyleIdx="1" presStyleCnt="5"/>
      <dgm:spPr/>
    </dgm:pt>
    <dgm:pt modelId="{E010E717-D88B-40CD-A44E-DAF939DA0400}" type="pres">
      <dgm:prSet presAssocID="{76EEF4D4-5D48-4239-B255-857C7A182D6B}" presName="node" presStyleLbl="node1" presStyleIdx="2" presStyleCnt="6">
        <dgm:presLayoutVars>
          <dgm:bulletEnabled val="1"/>
        </dgm:presLayoutVars>
      </dgm:prSet>
      <dgm:spPr/>
    </dgm:pt>
    <dgm:pt modelId="{D212602B-6995-4D26-A08B-B56A738B63FA}" type="pres">
      <dgm:prSet presAssocID="{C3C2BBF3-0556-4847-A3C6-8FEB1CD34195}" presName="sibTrans" presStyleLbl="sibTrans1D1" presStyleIdx="2" presStyleCnt="5"/>
      <dgm:spPr/>
    </dgm:pt>
    <dgm:pt modelId="{A3B137A1-9B73-407F-9727-EC2494BC49A3}" type="pres">
      <dgm:prSet presAssocID="{C3C2BBF3-0556-4847-A3C6-8FEB1CD34195}" presName="connectorText" presStyleLbl="sibTrans1D1" presStyleIdx="2" presStyleCnt="5"/>
      <dgm:spPr/>
    </dgm:pt>
    <dgm:pt modelId="{30B8E771-A6FE-4C61-B555-2E32AAA74DF2}" type="pres">
      <dgm:prSet presAssocID="{91204B15-CE20-4050-8A40-0666AABDAB90}" presName="node" presStyleLbl="node1" presStyleIdx="3" presStyleCnt="6">
        <dgm:presLayoutVars>
          <dgm:bulletEnabled val="1"/>
        </dgm:presLayoutVars>
      </dgm:prSet>
      <dgm:spPr/>
    </dgm:pt>
    <dgm:pt modelId="{5812A682-16EA-4542-8BE3-C72B472B320B}" type="pres">
      <dgm:prSet presAssocID="{6DD9108D-FD7D-42D9-BD05-04228160AAB6}" presName="sibTrans" presStyleLbl="sibTrans1D1" presStyleIdx="3" presStyleCnt="5"/>
      <dgm:spPr/>
    </dgm:pt>
    <dgm:pt modelId="{AFDB622A-BDE0-4C24-8D12-3B1E187091C4}" type="pres">
      <dgm:prSet presAssocID="{6DD9108D-FD7D-42D9-BD05-04228160AAB6}" presName="connectorText" presStyleLbl="sibTrans1D1" presStyleIdx="3" presStyleCnt="5"/>
      <dgm:spPr/>
    </dgm:pt>
    <dgm:pt modelId="{13DB0716-9FAF-4234-B781-18BC96B3B603}" type="pres">
      <dgm:prSet presAssocID="{B79D976F-68E1-4E37-8C1F-61E5FE9E2AC0}" presName="node" presStyleLbl="node1" presStyleIdx="4" presStyleCnt="6">
        <dgm:presLayoutVars>
          <dgm:bulletEnabled val="1"/>
        </dgm:presLayoutVars>
      </dgm:prSet>
      <dgm:spPr/>
    </dgm:pt>
    <dgm:pt modelId="{E869115C-ACAD-4E78-8FE4-3F8AC2313A85}" type="pres">
      <dgm:prSet presAssocID="{C4F0C06E-172C-45AA-A85F-0E4C89FA0F33}" presName="sibTrans" presStyleLbl="sibTrans1D1" presStyleIdx="4" presStyleCnt="5"/>
      <dgm:spPr/>
    </dgm:pt>
    <dgm:pt modelId="{98A1521B-0777-46C5-B3D9-2B31D3478164}" type="pres">
      <dgm:prSet presAssocID="{C4F0C06E-172C-45AA-A85F-0E4C89FA0F33}" presName="connectorText" presStyleLbl="sibTrans1D1" presStyleIdx="4" presStyleCnt="5"/>
      <dgm:spPr/>
    </dgm:pt>
    <dgm:pt modelId="{48AEAE51-6D77-43F6-938F-E13EF6D0231A}" type="pres">
      <dgm:prSet presAssocID="{2977CA9E-D9A3-4B12-A88B-74B120FE8137}" presName="node" presStyleLbl="node1" presStyleIdx="5" presStyleCnt="6">
        <dgm:presLayoutVars>
          <dgm:bulletEnabled val="1"/>
        </dgm:presLayoutVars>
      </dgm:prSet>
      <dgm:spPr/>
    </dgm:pt>
  </dgm:ptLst>
  <dgm:cxnLst>
    <dgm:cxn modelId="{F55AAE04-774A-4F8A-8ED1-CB1B8B8AF56D}" type="presOf" srcId="{91204B15-CE20-4050-8A40-0666AABDAB90}" destId="{30B8E771-A6FE-4C61-B555-2E32AAA74DF2}" srcOrd="0" destOrd="0" presId="urn:microsoft.com/office/officeart/2005/8/layout/bProcess3"/>
    <dgm:cxn modelId="{908FD716-2DCA-425F-ADCD-C013E264ADDF}" type="presOf" srcId="{45F2F77F-0BC3-40BA-8D2F-BC48B01056B2}" destId="{6AE89954-5794-406D-B4FB-0DC339934D42}" srcOrd="1" destOrd="0" presId="urn:microsoft.com/office/officeart/2005/8/layout/bProcess3"/>
    <dgm:cxn modelId="{E672151C-53E6-43BD-B303-A81E88468B14}" type="presOf" srcId="{9B7AAAB8-7415-4080-B789-BDC5FB0AEB2C}" destId="{72BC04BC-C62A-4407-8AAF-E3618C65AE45}" srcOrd="0" destOrd="2" presId="urn:microsoft.com/office/officeart/2005/8/layout/bProcess3"/>
    <dgm:cxn modelId="{7CD84D1C-952F-419A-93EE-2232F375F2AC}" type="presOf" srcId="{E614C918-CF90-4061-8A15-630244EFB5BF}" destId="{0CDF5152-973E-4C0C-A1F1-45DEBB5610EB}" srcOrd="0" destOrd="0" presId="urn:microsoft.com/office/officeart/2005/8/layout/bProcess3"/>
    <dgm:cxn modelId="{C0322B25-C491-4482-BB2C-71A8CDCB0C82}" type="presOf" srcId="{4E476B17-CEEB-4123-AA59-24823E127DB9}" destId="{F44F1AD9-F27B-4E4D-B93E-16033A0F66A6}" srcOrd="0" destOrd="0" presId="urn:microsoft.com/office/officeart/2005/8/layout/bProcess3"/>
    <dgm:cxn modelId="{1B058125-B084-4EDA-B862-E074F272AE2D}" srcId="{E614C918-CF90-4061-8A15-630244EFB5BF}" destId="{76EEF4D4-5D48-4239-B255-857C7A182D6B}" srcOrd="2" destOrd="0" parTransId="{02275505-8944-4442-BCA6-10771CE169BD}" sibTransId="{C3C2BBF3-0556-4847-A3C6-8FEB1CD34195}"/>
    <dgm:cxn modelId="{46FC4C26-1390-4E5D-86FE-03EDBB2A1C06}" type="presOf" srcId="{AB3321A6-3282-4197-9B90-1C50B9D7F601}" destId="{48AEAE51-6D77-43F6-938F-E13EF6D0231A}" srcOrd="0" destOrd="1" presId="urn:microsoft.com/office/officeart/2005/8/layout/bProcess3"/>
    <dgm:cxn modelId="{6F952628-3E50-4156-9E24-37F4AAD68B56}" srcId="{E614C918-CF90-4061-8A15-630244EFB5BF}" destId="{2977CA9E-D9A3-4B12-A88B-74B120FE8137}" srcOrd="5" destOrd="0" parTransId="{C33ED8B9-EE5D-4AA1-B430-1E9F6DA5BD8D}" sibTransId="{BDDD9388-C3A8-4C88-8937-12614D5F1CD2}"/>
    <dgm:cxn modelId="{C3AB4A2A-0C43-4F95-86BA-0EAAFD82BE9B}" srcId="{942CD1B9-F705-4397-9C49-7D572AFDA5FB}" destId="{7E484CC9-C392-4E1D-97E4-A58A8E2C5477}" srcOrd="0" destOrd="0" parTransId="{A95229AC-07BD-4FB1-BC7D-93EF0DCFE172}" sibTransId="{775182E6-D9E1-4CF6-8916-D084143E701C}"/>
    <dgm:cxn modelId="{4025B72B-1E42-4FED-A4F7-7C85165FA918}" type="presOf" srcId="{45F2F77F-0BC3-40BA-8D2F-BC48B01056B2}" destId="{3B524DB5-D339-4FCC-A1AA-3BE31B9C54A8}" srcOrd="0" destOrd="0" presId="urn:microsoft.com/office/officeart/2005/8/layout/bProcess3"/>
    <dgm:cxn modelId="{54FA382D-EC04-43A0-A7EA-D4BF26D5FE49}" srcId="{E614C918-CF90-4061-8A15-630244EFB5BF}" destId="{91204B15-CE20-4050-8A40-0666AABDAB90}" srcOrd="3" destOrd="0" parTransId="{F21F72E7-BD89-4E81-90F3-97708D03EBC3}" sibTransId="{6DD9108D-FD7D-42D9-BD05-04228160AAB6}"/>
    <dgm:cxn modelId="{6393E530-2D6A-4584-8103-A2072021947B}" type="presOf" srcId="{B79D976F-68E1-4E37-8C1F-61E5FE9E2AC0}" destId="{13DB0716-9FAF-4234-B781-18BC96B3B603}" srcOrd="0" destOrd="0" presId="urn:microsoft.com/office/officeart/2005/8/layout/bProcess3"/>
    <dgm:cxn modelId="{4E98D333-119C-409B-8D68-38916392F4CF}" type="presOf" srcId="{C3C2BBF3-0556-4847-A3C6-8FEB1CD34195}" destId="{A3B137A1-9B73-407F-9727-EC2494BC49A3}" srcOrd="1" destOrd="0" presId="urn:microsoft.com/office/officeart/2005/8/layout/bProcess3"/>
    <dgm:cxn modelId="{38FFE436-98CE-4ADB-BEAF-71C101EDDA2A}" type="presOf" srcId="{E52B4EB6-2D22-4EDB-948C-57286157692F}" destId="{282315FA-32C1-44EE-87E7-AD23C39EDDF7}" srcOrd="0" destOrd="0" presId="urn:microsoft.com/office/officeart/2005/8/layout/bProcess3"/>
    <dgm:cxn modelId="{28E73C39-BBBC-4252-89DB-B90B121D6CBB}" srcId="{E614C918-CF90-4061-8A15-630244EFB5BF}" destId="{942CD1B9-F705-4397-9C49-7D572AFDA5FB}" srcOrd="1" destOrd="0" parTransId="{0409F8B7-BCAF-48A6-B20C-E60B4E928953}" sibTransId="{E52B4EB6-2D22-4EDB-948C-57286157692F}"/>
    <dgm:cxn modelId="{6334AC39-2C03-49A1-9DFF-1FC44EEDD1D2}" srcId="{B79D976F-68E1-4E37-8C1F-61E5FE9E2AC0}" destId="{C69465D0-2CEE-4BFD-AC92-DE0B3A5B9FB2}" srcOrd="1" destOrd="0" parTransId="{524855E4-9CA3-41DD-8AC6-83EA16B359E8}" sibTransId="{A7BD1754-FC0E-40C6-BBCB-68C0F7AF9F52}"/>
    <dgm:cxn modelId="{1641B739-6D9A-4BAA-88B6-FD095F5AD05D}" type="presOf" srcId="{76EEF4D4-5D48-4239-B255-857C7A182D6B}" destId="{E010E717-D88B-40CD-A44E-DAF939DA0400}" srcOrd="0" destOrd="0" presId="urn:microsoft.com/office/officeart/2005/8/layout/bProcess3"/>
    <dgm:cxn modelId="{CA951045-2226-44D9-800F-95533747ED87}" srcId="{91204B15-CE20-4050-8A40-0666AABDAB90}" destId="{9F153521-B55C-46A4-B0F7-9CAF500D4397}" srcOrd="0" destOrd="0" parTransId="{D346DDAC-F0F3-4B48-AF8C-A2227F385174}" sibTransId="{9698B9A5-65F8-4553-ACCE-E876CC3F15FD}"/>
    <dgm:cxn modelId="{CA3EC068-3903-4B04-91EB-41DCF0B6725A}" srcId="{76EEF4D4-5D48-4239-B255-857C7A182D6B}" destId="{536C0ABC-7260-463F-83A4-5FE6F19ADA7A}" srcOrd="1" destOrd="0" parTransId="{3B840BC2-981D-4B12-BA5E-D3A18EE5E52C}" sibTransId="{EF45D583-B673-440C-9156-AB747BA3E2B3}"/>
    <dgm:cxn modelId="{E70C5B4D-B5EE-4EFD-A2BA-7C1C39DA494B}" srcId="{91204B15-CE20-4050-8A40-0666AABDAB90}" destId="{C78C7DCC-6076-4C53-98CA-07B00E5C28DE}" srcOrd="1" destOrd="0" parTransId="{9BB08039-E5E2-4F14-A31C-3B905F67E023}" sibTransId="{4BAA1827-221E-4E27-BB3B-227B225FFC55}"/>
    <dgm:cxn modelId="{A009986D-D458-4725-912E-552AB0DC0D5C}" type="presOf" srcId="{9F153521-B55C-46A4-B0F7-9CAF500D4397}" destId="{30B8E771-A6FE-4C61-B555-2E32AAA74DF2}" srcOrd="0" destOrd="1" presId="urn:microsoft.com/office/officeart/2005/8/layout/bProcess3"/>
    <dgm:cxn modelId="{5F50D16D-CC2C-4A3F-9E50-325FA6F4565A}" type="presOf" srcId="{536C0ABC-7260-463F-83A4-5FE6F19ADA7A}" destId="{E010E717-D88B-40CD-A44E-DAF939DA0400}" srcOrd="0" destOrd="2" presId="urn:microsoft.com/office/officeart/2005/8/layout/bProcess3"/>
    <dgm:cxn modelId="{46BFB04E-93D7-45C3-A4A7-0EA035C802F1}" type="presOf" srcId="{C69465D0-2CEE-4BFD-AC92-DE0B3A5B9FB2}" destId="{13DB0716-9FAF-4234-B781-18BC96B3B603}" srcOrd="0" destOrd="2" presId="urn:microsoft.com/office/officeart/2005/8/layout/bProcess3"/>
    <dgm:cxn modelId="{4519A972-557A-4F0B-AD6A-D078E1A8B98E}" type="presOf" srcId="{BEF680B9-ABF7-452A-B31B-2BF9E28C236C}" destId="{F44F1AD9-F27B-4E4D-B93E-16033A0F66A6}" srcOrd="0" destOrd="2" presId="urn:microsoft.com/office/officeart/2005/8/layout/bProcess3"/>
    <dgm:cxn modelId="{4D4CFB5A-A49A-404F-80D1-B7D251EFF2C5}" type="presOf" srcId="{E52B4EB6-2D22-4EDB-948C-57286157692F}" destId="{B69A0918-4E06-4644-88D6-FB9E5E0C7A1B}" srcOrd="1" destOrd="0" presId="urn:microsoft.com/office/officeart/2005/8/layout/bProcess3"/>
    <dgm:cxn modelId="{6BF3B47C-C890-42D5-BBBD-A879923D9888}" type="presOf" srcId="{C3C2BBF3-0556-4847-A3C6-8FEB1CD34195}" destId="{D212602B-6995-4D26-A08B-B56A738B63FA}" srcOrd="0" destOrd="0" presId="urn:microsoft.com/office/officeart/2005/8/layout/bProcess3"/>
    <dgm:cxn modelId="{31AB8785-7B7F-4D58-939E-CE7299339D47}" type="presOf" srcId="{E33691A8-4BA7-4D8C-875F-5FCD2D2BE359}" destId="{48AEAE51-6D77-43F6-938F-E13EF6D0231A}" srcOrd="0" destOrd="2" presId="urn:microsoft.com/office/officeart/2005/8/layout/bProcess3"/>
    <dgm:cxn modelId="{9544C986-47A5-4704-A122-32D6D5B562A2}" srcId="{B79D976F-68E1-4E37-8C1F-61E5FE9E2AC0}" destId="{CAFD789D-9938-451B-B06D-F25F647291F0}" srcOrd="0" destOrd="0" parTransId="{B2941A88-62EC-4228-B00D-4D9C6A254636}" sibTransId="{71ED239F-A92A-4C30-ACFF-47CE98E65F09}"/>
    <dgm:cxn modelId="{3483FC89-DC9C-4DFB-8409-53787A88ADAF}" srcId="{942CD1B9-F705-4397-9C49-7D572AFDA5FB}" destId="{9B7AAAB8-7415-4080-B789-BDC5FB0AEB2C}" srcOrd="1" destOrd="0" parTransId="{6F8FBECE-177D-48DF-8414-95D3AB2057B4}" sibTransId="{ED757170-F984-429C-BBF4-318132BF3757}"/>
    <dgm:cxn modelId="{EAAA0E8E-D909-42A5-8066-D52CC814D619}" srcId="{2977CA9E-D9A3-4B12-A88B-74B120FE8137}" destId="{E33691A8-4BA7-4D8C-875F-5FCD2D2BE359}" srcOrd="1" destOrd="0" parTransId="{F9F1715D-793C-4DC9-9091-ACCA032E03C3}" sibTransId="{2172E431-D88D-408E-9546-5B702E688650}"/>
    <dgm:cxn modelId="{6600BE99-2636-4C16-818A-17323483494F}" type="presOf" srcId="{942CD1B9-F705-4397-9C49-7D572AFDA5FB}" destId="{72BC04BC-C62A-4407-8AAF-E3618C65AE45}" srcOrd="0" destOrd="0" presId="urn:microsoft.com/office/officeart/2005/8/layout/bProcess3"/>
    <dgm:cxn modelId="{072DA8A1-9DF0-4E3C-81FD-34A275838C9E}" srcId="{4E476B17-CEEB-4123-AA59-24823E127DB9}" destId="{2213FDE8-F2A0-4143-AF35-D84891891896}" srcOrd="0" destOrd="0" parTransId="{C86C4F92-3D16-41FC-B184-EE0CF4F38444}" sibTransId="{EC147C4E-D5B8-49D3-AD20-DD29F02A55ED}"/>
    <dgm:cxn modelId="{41554FA6-F5E4-47B9-9CBD-D8DBBD162E13}" type="presOf" srcId="{C4F0C06E-172C-45AA-A85F-0E4C89FA0F33}" destId="{E869115C-ACAD-4E78-8FE4-3F8AC2313A85}" srcOrd="0" destOrd="0" presId="urn:microsoft.com/office/officeart/2005/8/layout/bProcess3"/>
    <dgm:cxn modelId="{EFA54FA6-2CB5-4B64-B460-92788D8723E1}" srcId="{E614C918-CF90-4061-8A15-630244EFB5BF}" destId="{4E476B17-CEEB-4123-AA59-24823E127DB9}" srcOrd="0" destOrd="0" parTransId="{DE4704B0-3182-4915-A697-78D4E6402475}" sibTransId="{45F2F77F-0BC3-40BA-8D2F-BC48B01056B2}"/>
    <dgm:cxn modelId="{4461CBAC-F02E-4329-BE76-68C50BDC3433}" type="presOf" srcId="{CAFD789D-9938-451B-B06D-F25F647291F0}" destId="{13DB0716-9FAF-4234-B781-18BC96B3B603}" srcOrd="0" destOrd="1" presId="urn:microsoft.com/office/officeart/2005/8/layout/bProcess3"/>
    <dgm:cxn modelId="{4EAC93AD-D9C6-4D6F-91E1-1BDCEE158905}" srcId="{2977CA9E-D9A3-4B12-A88B-74B120FE8137}" destId="{AB3321A6-3282-4197-9B90-1C50B9D7F601}" srcOrd="0" destOrd="0" parTransId="{25AB3E42-6403-4A14-860C-FE2494EA9427}" sibTransId="{E5E39199-7704-4DBA-B731-64A9D00A2ACC}"/>
    <dgm:cxn modelId="{15E415B4-916F-41BB-BC67-6DE36FF7D4A8}" srcId="{E614C918-CF90-4061-8A15-630244EFB5BF}" destId="{B79D976F-68E1-4E37-8C1F-61E5FE9E2AC0}" srcOrd="4" destOrd="0" parTransId="{9DB721F1-9EA2-4511-89BA-366F2DF27807}" sibTransId="{C4F0C06E-172C-45AA-A85F-0E4C89FA0F33}"/>
    <dgm:cxn modelId="{675A63B7-E7C5-4C67-A987-B66C5F898621}" type="presOf" srcId="{5DD20336-7D35-4A73-91CE-9A6931C2329E}" destId="{E010E717-D88B-40CD-A44E-DAF939DA0400}" srcOrd="0" destOrd="1" presId="urn:microsoft.com/office/officeart/2005/8/layout/bProcess3"/>
    <dgm:cxn modelId="{45EC9DB7-5BD0-4251-B1ED-B3B1A856E95F}" type="presOf" srcId="{6DD9108D-FD7D-42D9-BD05-04228160AAB6}" destId="{5812A682-16EA-4542-8BE3-C72B472B320B}" srcOrd="0" destOrd="0" presId="urn:microsoft.com/office/officeart/2005/8/layout/bProcess3"/>
    <dgm:cxn modelId="{C950D8BC-A475-48DF-97BA-7DD3517C005C}" type="presOf" srcId="{6DD9108D-FD7D-42D9-BD05-04228160AAB6}" destId="{AFDB622A-BDE0-4C24-8D12-3B1E187091C4}" srcOrd="1" destOrd="0" presId="urn:microsoft.com/office/officeart/2005/8/layout/bProcess3"/>
    <dgm:cxn modelId="{E4C820D7-A32A-4836-B41E-DC5E67BD5FFB}" type="presOf" srcId="{2213FDE8-F2A0-4143-AF35-D84891891896}" destId="{F44F1AD9-F27B-4E4D-B93E-16033A0F66A6}" srcOrd="0" destOrd="1" presId="urn:microsoft.com/office/officeart/2005/8/layout/bProcess3"/>
    <dgm:cxn modelId="{22D936E0-122F-42C8-9821-8768953C938B}" type="presOf" srcId="{2977CA9E-D9A3-4B12-A88B-74B120FE8137}" destId="{48AEAE51-6D77-43F6-938F-E13EF6D0231A}" srcOrd="0" destOrd="0" presId="urn:microsoft.com/office/officeart/2005/8/layout/bProcess3"/>
    <dgm:cxn modelId="{5123D9E8-AB0B-4696-87BC-1C8B37DB889E}" srcId="{4E476B17-CEEB-4123-AA59-24823E127DB9}" destId="{BEF680B9-ABF7-452A-B31B-2BF9E28C236C}" srcOrd="1" destOrd="0" parTransId="{DF902E3F-DB3E-4677-BAF2-D80052CA3A76}" sibTransId="{7C043FAB-7CCF-4C5F-81C4-9B86043E4247}"/>
    <dgm:cxn modelId="{E31CB5F5-C5FA-4416-ADA1-A1A7037ED55A}" srcId="{76EEF4D4-5D48-4239-B255-857C7A182D6B}" destId="{5DD20336-7D35-4A73-91CE-9A6931C2329E}" srcOrd="0" destOrd="0" parTransId="{F58BD2F9-A0D5-4633-BA40-A98CCD94A791}" sibTransId="{EDAC0284-8A71-4F76-AC09-E575A5A74DEC}"/>
    <dgm:cxn modelId="{92D4EBF8-63B4-4071-B825-D0A703389062}" type="presOf" srcId="{C78C7DCC-6076-4C53-98CA-07B00E5C28DE}" destId="{30B8E771-A6FE-4C61-B555-2E32AAA74DF2}" srcOrd="0" destOrd="2" presId="urn:microsoft.com/office/officeart/2005/8/layout/bProcess3"/>
    <dgm:cxn modelId="{7CC780F9-2AC9-4C3C-871A-9AE715F96A8E}" type="presOf" srcId="{C4F0C06E-172C-45AA-A85F-0E4C89FA0F33}" destId="{98A1521B-0777-46C5-B3D9-2B31D3478164}" srcOrd="1" destOrd="0" presId="urn:microsoft.com/office/officeart/2005/8/layout/bProcess3"/>
    <dgm:cxn modelId="{7D0ABBFD-520B-42E4-BFAA-1BCFF5A01A95}" type="presOf" srcId="{7E484CC9-C392-4E1D-97E4-A58A8E2C5477}" destId="{72BC04BC-C62A-4407-8AAF-E3618C65AE45}" srcOrd="0" destOrd="1" presId="urn:microsoft.com/office/officeart/2005/8/layout/bProcess3"/>
    <dgm:cxn modelId="{425EA47F-E6BC-4F4A-8728-5A8007F5CD57}" type="presParOf" srcId="{0CDF5152-973E-4C0C-A1F1-45DEBB5610EB}" destId="{F44F1AD9-F27B-4E4D-B93E-16033A0F66A6}" srcOrd="0" destOrd="0" presId="urn:microsoft.com/office/officeart/2005/8/layout/bProcess3"/>
    <dgm:cxn modelId="{F699491B-85EC-48BA-A87D-B191CDBFFF84}" type="presParOf" srcId="{0CDF5152-973E-4C0C-A1F1-45DEBB5610EB}" destId="{3B524DB5-D339-4FCC-A1AA-3BE31B9C54A8}" srcOrd="1" destOrd="0" presId="urn:microsoft.com/office/officeart/2005/8/layout/bProcess3"/>
    <dgm:cxn modelId="{F77C33C4-B33B-4F00-B6D8-0147223ED47E}" type="presParOf" srcId="{3B524DB5-D339-4FCC-A1AA-3BE31B9C54A8}" destId="{6AE89954-5794-406D-B4FB-0DC339934D42}" srcOrd="0" destOrd="0" presId="urn:microsoft.com/office/officeart/2005/8/layout/bProcess3"/>
    <dgm:cxn modelId="{34AD8EF0-0B4D-4293-A976-3ECE1A8A01AE}" type="presParOf" srcId="{0CDF5152-973E-4C0C-A1F1-45DEBB5610EB}" destId="{72BC04BC-C62A-4407-8AAF-E3618C65AE45}" srcOrd="2" destOrd="0" presId="urn:microsoft.com/office/officeart/2005/8/layout/bProcess3"/>
    <dgm:cxn modelId="{3C1C597C-3316-42A9-8A05-C04FFDB67922}" type="presParOf" srcId="{0CDF5152-973E-4C0C-A1F1-45DEBB5610EB}" destId="{282315FA-32C1-44EE-87E7-AD23C39EDDF7}" srcOrd="3" destOrd="0" presId="urn:microsoft.com/office/officeart/2005/8/layout/bProcess3"/>
    <dgm:cxn modelId="{C3948B32-35D1-46CF-BC0B-42EDD18456D7}" type="presParOf" srcId="{282315FA-32C1-44EE-87E7-AD23C39EDDF7}" destId="{B69A0918-4E06-4644-88D6-FB9E5E0C7A1B}" srcOrd="0" destOrd="0" presId="urn:microsoft.com/office/officeart/2005/8/layout/bProcess3"/>
    <dgm:cxn modelId="{A3FF6066-0A2C-4566-B482-4312F46D288C}" type="presParOf" srcId="{0CDF5152-973E-4C0C-A1F1-45DEBB5610EB}" destId="{E010E717-D88B-40CD-A44E-DAF939DA0400}" srcOrd="4" destOrd="0" presId="urn:microsoft.com/office/officeart/2005/8/layout/bProcess3"/>
    <dgm:cxn modelId="{A23D3C66-C26B-41AD-8427-23C14963DA82}" type="presParOf" srcId="{0CDF5152-973E-4C0C-A1F1-45DEBB5610EB}" destId="{D212602B-6995-4D26-A08B-B56A738B63FA}" srcOrd="5" destOrd="0" presId="urn:microsoft.com/office/officeart/2005/8/layout/bProcess3"/>
    <dgm:cxn modelId="{86A4B63D-C91D-49CD-83A1-AE7A115805D8}" type="presParOf" srcId="{D212602B-6995-4D26-A08B-B56A738B63FA}" destId="{A3B137A1-9B73-407F-9727-EC2494BC49A3}" srcOrd="0" destOrd="0" presId="urn:microsoft.com/office/officeart/2005/8/layout/bProcess3"/>
    <dgm:cxn modelId="{89E536DB-C7EC-4861-8AC5-A7B41F0BF785}" type="presParOf" srcId="{0CDF5152-973E-4C0C-A1F1-45DEBB5610EB}" destId="{30B8E771-A6FE-4C61-B555-2E32AAA74DF2}" srcOrd="6" destOrd="0" presId="urn:microsoft.com/office/officeart/2005/8/layout/bProcess3"/>
    <dgm:cxn modelId="{5295A876-C263-446B-A04C-7250E21F1DB8}" type="presParOf" srcId="{0CDF5152-973E-4C0C-A1F1-45DEBB5610EB}" destId="{5812A682-16EA-4542-8BE3-C72B472B320B}" srcOrd="7" destOrd="0" presId="urn:microsoft.com/office/officeart/2005/8/layout/bProcess3"/>
    <dgm:cxn modelId="{E7FC5DBC-2BF6-434A-807A-316EB1B39B71}" type="presParOf" srcId="{5812A682-16EA-4542-8BE3-C72B472B320B}" destId="{AFDB622A-BDE0-4C24-8D12-3B1E187091C4}" srcOrd="0" destOrd="0" presId="urn:microsoft.com/office/officeart/2005/8/layout/bProcess3"/>
    <dgm:cxn modelId="{36C1CFCF-1D88-4C1B-B475-E353D63A7791}" type="presParOf" srcId="{0CDF5152-973E-4C0C-A1F1-45DEBB5610EB}" destId="{13DB0716-9FAF-4234-B781-18BC96B3B603}" srcOrd="8" destOrd="0" presId="urn:microsoft.com/office/officeart/2005/8/layout/bProcess3"/>
    <dgm:cxn modelId="{1066273D-525F-434D-AD44-5106350182DD}" type="presParOf" srcId="{0CDF5152-973E-4C0C-A1F1-45DEBB5610EB}" destId="{E869115C-ACAD-4E78-8FE4-3F8AC2313A85}" srcOrd="9" destOrd="0" presId="urn:microsoft.com/office/officeart/2005/8/layout/bProcess3"/>
    <dgm:cxn modelId="{9879661D-8865-4753-AA1F-FD64EE575D56}" type="presParOf" srcId="{E869115C-ACAD-4E78-8FE4-3F8AC2313A85}" destId="{98A1521B-0777-46C5-B3D9-2B31D3478164}" srcOrd="0" destOrd="0" presId="urn:microsoft.com/office/officeart/2005/8/layout/bProcess3"/>
    <dgm:cxn modelId="{0E559400-F82E-4F62-8E37-7E8AD3B32293}" type="presParOf" srcId="{0CDF5152-973E-4C0C-A1F1-45DEBB5610EB}" destId="{48AEAE51-6D77-43F6-938F-E13EF6D0231A}" srcOrd="10" destOrd="0" presId="urn:microsoft.com/office/officeart/2005/8/layout/bProcess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524DB5-D339-4FCC-A1AA-3BE31B9C54A8}">
      <dsp:nvSpPr>
        <dsp:cNvPr id="0" name=""/>
        <dsp:cNvSpPr/>
      </dsp:nvSpPr>
      <dsp:spPr>
        <a:xfrm>
          <a:off x="1599328" y="425311"/>
          <a:ext cx="329230" cy="91440"/>
        </a:xfrm>
        <a:custGeom>
          <a:avLst/>
          <a:gdLst/>
          <a:ahLst/>
          <a:cxnLst/>
          <a:rect l="0" t="0" r="0" b="0"/>
          <a:pathLst>
            <a:path>
              <a:moveTo>
                <a:pt x="0" y="45720"/>
              </a:moveTo>
              <a:lnTo>
                <a:pt x="329230"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1754948" y="469232"/>
        <a:ext cx="17991" cy="3598"/>
      </dsp:txXfrm>
    </dsp:sp>
    <dsp:sp modelId="{F44F1AD9-F27B-4E4D-B93E-16033A0F66A6}">
      <dsp:nvSpPr>
        <dsp:cNvPr id="0" name=""/>
        <dsp:cNvSpPr/>
      </dsp:nvSpPr>
      <dsp:spPr>
        <a:xfrm>
          <a:off x="36647" y="1687"/>
          <a:ext cx="1564481" cy="93868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5th Feb 2024 </a:t>
          </a:r>
        </a:p>
        <a:p>
          <a:pPr marL="0" lvl="0" indent="0" algn="l" defTabSz="355600">
            <a:lnSpc>
              <a:spcPct val="90000"/>
            </a:lnSpc>
            <a:spcBef>
              <a:spcPct val="0"/>
            </a:spcBef>
            <a:spcAft>
              <a:spcPct val="35000"/>
            </a:spcAft>
            <a:buNone/>
          </a:pPr>
          <a:r>
            <a:rPr lang="en-AU" sz="700" b="1" i="1" kern="1200"/>
            <a:t>PhD Commenced</a:t>
          </a:r>
        </a:p>
        <a:p>
          <a:pPr marL="57150" lvl="1" indent="-57150" algn="l" defTabSz="266700">
            <a:lnSpc>
              <a:spcPct val="90000"/>
            </a:lnSpc>
            <a:spcBef>
              <a:spcPct val="0"/>
            </a:spcBef>
            <a:spcAft>
              <a:spcPct val="15000"/>
            </a:spcAft>
            <a:buChar char="•"/>
          </a:pPr>
          <a:r>
            <a:rPr lang="en-AU" sz="600" kern="1200"/>
            <a:t>Full-time employee at Canopy Blue</a:t>
          </a:r>
        </a:p>
        <a:p>
          <a:pPr marL="57150" lvl="1" indent="-57150" algn="l" defTabSz="266700">
            <a:lnSpc>
              <a:spcPct val="90000"/>
            </a:lnSpc>
            <a:spcBef>
              <a:spcPct val="0"/>
            </a:spcBef>
            <a:spcAft>
              <a:spcPct val="15000"/>
            </a:spcAft>
            <a:buChar char="•"/>
          </a:pPr>
          <a:r>
            <a:rPr lang="en-AU" sz="600" kern="1200"/>
            <a:t>Focus: Project planning &amp; Literature review (no IP Generated)</a:t>
          </a:r>
        </a:p>
      </dsp:txBody>
      <dsp:txXfrm>
        <a:off x="36647" y="1687"/>
        <a:ext cx="1564481" cy="938688"/>
      </dsp:txXfrm>
    </dsp:sp>
    <dsp:sp modelId="{282315FA-32C1-44EE-87E7-AD23C39EDDF7}">
      <dsp:nvSpPr>
        <dsp:cNvPr id="0" name=""/>
        <dsp:cNvSpPr/>
      </dsp:nvSpPr>
      <dsp:spPr>
        <a:xfrm>
          <a:off x="3523640" y="425311"/>
          <a:ext cx="329230" cy="91440"/>
        </a:xfrm>
        <a:custGeom>
          <a:avLst/>
          <a:gdLst/>
          <a:ahLst/>
          <a:cxnLst/>
          <a:rect l="0" t="0" r="0" b="0"/>
          <a:pathLst>
            <a:path>
              <a:moveTo>
                <a:pt x="0" y="45720"/>
              </a:moveTo>
              <a:lnTo>
                <a:pt x="329230"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3679260" y="469232"/>
        <a:ext cx="17991" cy="3598"/>
      </dsp:txXfrm>
    </dsp:sp>
    <dsp:sp modelId="{72BC04BC-C62A-4407-8AAF-E3618C65AE45}">
      <dsp:nvSpPr>
        <dsp:cNvPr id="0" name=""/>
        <dsp:cNvSpPr/>
      </dsp:nvSpPr>
      <dsp:spPr>
        <a:xfrm>
          <a:off x="1960959" y="1687"/>
          <a:ext cx="1564481" cy="93868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15th July 2024 </a:t>
          </a:r>
        </a:p>
        <a:p>
          <a:pPr marL="0" lvl="0" indent="0" algn="l" defTabSz="355600">
            <a:lnSpc>
              <a:spcPct val="90000"/>
            </a:lnSpc>
            <a:spcBef>
              <a:spcPct val="0"/>
            </a:spcBef>
            <a:spcAft>
              <a:spcPct val="35000"/>
            </a:spcAft>
            <a:buNone/>
          </a:pPr>
          <a:r>
            <a:rPr lang="en-AU" sz="700" b="1" i="1" kern="1200"/>
            <a:t>NIPhD Program Commenced</a:t>
          </a:r>
        </a:p>
        <a:p>
          <a:pPr marL="57150" lvl="1" indent="-57150" algn="l" defTabSz="266700">
            <a:lnSpc>
              <a:spcPct val="90000"/>
            </a:lnSpc>
            <a:spcBef>
              <a:spcPct val="0"/>
            </a:spcBef>
            <a:spcAft>
              <a:spcPct val="15000"/>
            </a:spcAft>
            <a:buChar char="•"/>
          </a:pPr>
          <a:r>
            <a:rPr lang="en-AU" sz="600" kern="1200"/>
            <a:t>Full-time employee at Canopy Blue with 30hrs alloction to PhD</a:t>
          </a:r>
        </a:p>
        <a:p>
          <a:pPr marL="57150" lvl="1" indent="-57150" algn="l" defTabSz="266700">
            <a:lnSpc>
              <a:spcPct val="90000"/>
            </a:lnSpc>
            <a:spcBef>
              <a:spcPct val="0"/>
            </a:spcBef>
            <a:spcAft>
              <a:spcPct val="15000"/>
            </a:spcAft>
            <a:buChar char="•"/>
          </a:pPr>
          <a:r>
            <a:rPr lang="en-AU" sz="600" kern="1200"/>
            <a:t>Focus: Research Proposal &amp; Literature review (no IP Generated)</a:t>
          </a:r>
        </a:p>
      </dsp:txBody>
      <dsp:txXfrm>
        <a:off x="1960959" y="1687"/>
        <a:ext cx="1564481" cy="938688"/>
      </dsp:txXfrm>
    </dsp:sp>
    <dsp:sp modelId="{D212602B-6995-4D26-A08B-B56A738B63FA}">
      <dsp:nvSpPr>
        <dsp:cNvPr id="0" name=""/>
        <dsp:cNvSpPr/>
      </dsp:nvSpPr>
      <dsp:spPr>
        <a:xfrm>
          <a:off x="818888" y="938576"/>
          <a:ext cx="3848623" cy="329230"/>
        </a:xfrm>
        <a:custGeom>
          <a:avLst/>
          <a:gdLst/>
          <a:ahLst/>
          <a:cxnLst/>
          <a:rect l="0" t="0" r="0" b="0"/>
          <a:pathLst>
            <a:path>
              <a:moveTo>
                <a:pt x="3848623" y="0"/>
              </a:moveTo>
              <a:lnTo>
                <a:pt x="3848623" y="181715"/>
              </a:lnTo>
              <a:lnTo>
                <a:pt x="0" y="181715"/>
              </a:lnTo>
              <a:lnTo>
                <a:pt x="0" y="32923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2646564" y="1101392"/>
        <a:ext cx="193270" cy="3598"/>
      </dsp:txXfrm>
    </dsp:sp>
    <dsp:sp modelId="{E010E717-D88B-40CD-A44E-DAF939DA0400}">
      <dsp:nvSpPr>
        <dsp:cNvPr id="0" name=""/>
        <dsp:cNvSpPr/>
      </dsp:nvSpPr>
      <dsp:spPr>
        <a:xfrm>
          <a:off x="3885271" y="1687"/>
          <a:ext cx="1564481" cy="93868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t" anchorCtr="0">
          <a:noAutofit/>
        </a:bodyPr>
        <a:lstStyle/>
        <a:p>
          <a:pPr marL="0" lvl="0" indent="0" algn="l" defTabSz="400050">
            <a:lnSpc>
              <a:spcPct val="90000"/>
            </a:lnSpc>
            <a:spcBef>
              <a:spcPct val="0"/>
            </a:spcBef>
            <a:spcAft>
              <a:spcPct val="35000"/>
            </a:spcAft>
            <a:buNone/>
          </a:pPr>
          <a:r>
            <a:rPr lang="en-AU" sz="900" kern="1200"/>
            <a:t>1st October 2024 </a:t>
          </a:r>
        </a:p>
        <a:p>
          <a:pPr marL="0" lvl="0" indent="0" algn="l" defTabSz="400050">
            <a:lnSpc>
              <a:spcPct val="90000"/>
            </a:lnSpc>
            <a:spcBef>
              <a:spcPct val="0"/>
            </a:spcBef>
            <a:spcAft>
              <a:spcPct val="35000"/>
            </a:spcAft>
            <a:buNone/>
          </a:pPr>
          <a:r>
            <a:rPr lang="en-AU" sz="700" b="1" i="1" kern="1200"/>
            <a:t>NIPhD payment not met</a:t>
          </a:r>
        </a:p>
        <a:p>
          <a:pPr marL="57150" lvl="1" indent="-57150" algn="l" defTabSz="311150">
            <a:lnSpc>
              <a:spcPct val="90000"/>
            </a:lnSpc>
            <a:spcBef>
              <a:spcPct val="0"/>
            </a:spcBef>
            <a:spcAft>
              <a:spcPct val="15000"/>
            </a:spcAft>
            <a:buChar char="•"/>
          </a:pPr>
          <a:r>
            <a:rPr lang="en-AU" sz="700" kern="1200"/>
            <a:t>Canopy Blue do not make payment for initial trials</a:t>
          </a:r>
        </a:p>
        <a:p>
          <a:pPr marL="57150" lvl="1" indent="-57150" algn="l" defTabSz="311150">
            <a:lnSpc>
              <a:spcPct val="90000"/>
            </a:lnSpc>
            <a:spcBef>
              <a:spcPct val="0"/>
            </a:spcBef>
            <a:spcAft>
              <a:spcPct val="15000"/>
            </a:spcAft>
            <a:buChar char="•"/>
          </a:pPr>
          <a:r>
            <a:rPr lang="en-AU" sz="700" kern="1200"/>
            <a:t>Focus: Confirmation of Canditure (no IP Generated)</a:t>
          </a:r>
        </a:p>
      </dsp:txBody>
      <dsp:txXfrm>
        <a:off x="3885271" y="1687"/>
        <a:ext cx="1564481" cy="938688"/>
      </dsp:txXfrm>
    </dsp:sp>
    <dsp:sp modelId="{5812A682-16EA-4542-8BE3-C72B472B320B}">
      <dsp:nvSpPr>
        <dsp:cNvPr id="0" name=""/>
        <dsp:cNvSpPr/>
      </dsp:nvSpPr>
      <dsp:spPr>
        <a:xfrm>
          <a:off x="1599328" y="1723831"/>
          <a:ext cx="329230" cy="91440"/>
        </a:xfrm>
        <a:custGeom>
          <a:avLst/>
          <a:gdLst/>
          <a:ahLst/>
          <a:cxnLst/>
          <a:rect l="0" t="0" r="0" b="0"/>
          <a:pathLst>
            <a:path>
              <a:moveTo>
                <a:pt x="0" y="45720"/>
              </a:moveTo>
              <a:lnTo>
                <a:pt x="329230"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1754948" y="1767752"/>
        <a:ext cx="17991" cy="3598"/>
      </dsp:txXfrm>
    </dsp:sp>
    <dsp:sp modelId="{30B8E771-A6FE-4C61-B555-2E32AAA74DF2}">
      <dsp:nvSpPr>
        <dsp:cNvPr id="0" name=""/>
        <dsp:cNvSpPr/>
      </dsp:nvSpPr>
      <dsp:spPr>
        <a:xfrm>
          <a:off x="36647" y="1300206"/>
          <a:ext cx="1564481" cy="93868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7th April 2025 </a:t>
          </a:r>
        </a:p>
        <a:p>
          <a:pPr marL="0" lvl="0" indent="0" algn="l" defTabSz="355600">
            <a:lnSpc>
              <a:spcPct val="90000"/>
            </a:lnSpc>
            <a:spcBef>
              <a:spcPct val="0"/>
            </a:spcBef>
            <a:spcAft>
              <a:spcPct val="35000"/>
            </a:spcAft>
            <a:buNone/>
          </a:pPr>
          <a:r>
            <a:rPr lang="en-AU" sz="700" b="1" i="1" kern="1200"/>
            <a:t>Resignation</a:t>
          </a:r>
        </a:p>
        <a:p>
          <a:pPr marL="57150" lvl="1" indent="-57150" algn="l" defTabSz="266700">
            <a:lnSpc>
              <a:spcPct val="90000"/>
            </a:lnSpc>
            <a:spcBef>
              <a:spcPct val="0"/>
            </a:spcBef>
            <a:spcAft>
              <a:spcPct val="15000"/>
            </a:spcAft>
            <a:buChar char="•"/>
          </a:pPr>
          <a:r>
            <a:rPr lang="en-AU" sz="600" kern="1200"/>
            <a:t>Canopy Blue employment &amp; NIPhD ceased</a:t>
          </a:r>
        </a:p>
        <a:p>
          <a:pPr marL="57150" lvl="1" indent="-57150" algn="l" defTabSz="266700">
            <a:lnSpc>
              <a:spcPct val="90000"/>
            </a:lnSpc>
            <a:spcBef>
              <a:spcPct val="0"/>
            </a:spcBef>
            <a:spcAft>
              <a:spcPct val="15000"/>
            </a:spcAft>
            <a:buChar char="•"/>
          </a:pPr>
          <a:r>
            <a:rPr lang="en-AU" sz="600" kern="1200"/>
            <a:t>Focus: Species selection trials undertaken (no IP generated)</a:t>
          </a:r>
        </a:p>
      </dsp:txBody>
      <dsp:txXfrm>
        <a:off x="36647" y="1300206"/>
        <a:ext cx="1564481" cy="938688"/>
      </dsp:txXfrm>
    </dsp:sp>
    <dsp:sp modelId="{E869115C-ACAD-4E78-8FE4-3F8AC2313A85}">
      <dsp:nvSpPr>
        <dsp:cNvPr id="0" name=""/>
        <dsp:cNvSpPr/>
      </dsp:nvSpPr>
      <dsp:spPr>
        <a:xfrm>
          <a:off x="3523640" y="1723831"/>
          <a:ext cx="329230" cy="91440"/>
        </a:xfrm>
        <a:custGeom>
          <a:avLst/>
          <a:gdLst/>
          <a:ahLst/>
          <a:cxnLst/>
          <a:rect l="0" t="0" r="0" b="0"/>
          <a:pathLst>
            <a:path>
              <a:moveTo>
                <a:pt x="0" y="45720"/>
              </a:moveTo>
              <a:lnTo>
                <a:pt x="329230"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3679260" y="1767752"/>
        <a:ext cx="17991" cy="3598"/>
      </dsp:txXfrm>
    </dsp:sp>
    <dsp:sp modelId="{13DB0716-9FAF-4234-B781-18BC96B3B603}">
      <dsp:nvSpPr>
        <dsp:cNvPr id="0" name=""/>
        <dsp:cNvSpPr/>
      </dsp:nvSpPr>
      <dsp:spPr>
        <a:xfrm>
          <a:off x="1960959" y="1300206"/>
          <a:ext cx="1564481" cy="93868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11st July 2025 </a:t>
          </a:r>
        </a:p>
        <a:p>
          <a:pPr marL="0" lvl="0" indent="0" algn="l" defTabSz="355600">
            <a:lnSpc>
              <a:spcPct val="90000"/>
            </a:lnSpc>
            <a:spcBef>
              <a:spcPct val="0"/>
            </a:spcBef>
            <a:spcAft>
              <a:spcPct val="35000"/>
            </a:spcAft>
            <a:buNone/>
          </a:pPr>
          <a:r>
            <a:rPr lang="en-AU" sz="700" b="1" i="1" kern="1200"/>
            <a:t>SeaCulture Registration</a:t>
          </a:r>
        </a:p>
        <a:p>
          <a:pPr marL="57150" lvl="1" indent="-57150" algn="l" defTabSz="266700">
            <a:lnSpc>
              <a:spcPct val="90000"/>
            </a:lnSpc>
            <a:spcBef>
              <a:spcPct val="0"/>
            </a:spcBef>
            <a:spcAft>
              <a:spcPct val="15000"/>
            </a:spcAft>
            <a:buChar char="•"/>
          </a:pPr>
          <a:r>
            <a:rPr lang="en-AU" sz="600" kern="1200"/>
            <a:t>Student IP generated, ownership with Alison Duguid</a:t>
          </a:r>
        </a:p>
        <a:p>
          <a:pPr marL="57150" lvl="1" indent="-57150" algn="l" defTabSz="266700">
            <a:lnSpc>
              <a:spcPct val="90000"/>
            </a:lnSpc>
            <a:spcBef>
              <a:spcPct val="0"/>
            </a:spcBef>
            <a:spcAft>
              <a:spcPct val="15000"/>
            </a:spcAft>
            <a:buChar char="•"/>
          </a:pPr>
          <a:r>
            <a:rPr lang="en-AU" sz="600" kern="1200"/>
            <a:t>Focus: Extraction technique/ soil lab trials (IP Generated)</a:t>
          </a:r>
        </a:p>
      </dsp:txBody>
      <dsp:txXfrm>
        <a:off x="1960959" y="1300206"/>
        <a:ext cx="1564481" cy="938688"/>
      </dsp:txXfrm>
    </dsp:sp>
    <dsp:sp modelId="{48AEAE51-6D77-43F6-938F-E13EF6D0231A}">
      <dsp:nvSpPr>
        <dsp:cNvPr id="0" name=""/>
        <dsp:cNvSpPr/>
      </dsp:nvSpPr>
      <dsp:spPr>
        <a:xfrm>
          <a:off x="3885271" y="1300206"/>
          <a:ext cx="1564481" cy="93868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13th April 2026 </a:t>
          </a:r>
        </a:p>
        <a:p>
          <a:pPr marL="0" lvl="0" indent="0" algn="l" defTabSz="355600">
            <a:lnSpc>
              <a:spcPct val="90000"/>
            </a:lnSpc>
            <a:spcBef>
              <a:spcPct val="0"/>
            </a:spcBef>
            <a:spcAft>
              <a:spcPct val="35000"/>
            </a:spcAft>
            <a:buNone/>
          </a:pPr>
          <a:r>
            <a:rPr lang="en-AU" sz="700" b="1" i="1" kern="1200"/>
            <a:t>Seaculture Employment Agreement</a:t>
          </a:r>
          <a:endParaRPr lang="en-AU" sz="700" i="1" kern="1200"/>
        </a:p>
        <a:p>
          <a:pPr marL="57150" lvl="1" indent="-57150" algn="l" defTabSz="266700">
            <a:lnSpc>
              <a:spcPct val="90000"/>
            </a:lnSpc>
            <a:spcBef>
              <a:spcPct val="0"/>
            </a:spcBef>
            <a:spcAft>
              <a:spcPct val="15000"/>
            </a:spcAft>
            <a:buChar char="•"/>
          </a:pPr>
          <a:r>
            <a:rPr lang="en-AU" sz="600" kern="1200"/>
            <a:t>Alison Duguid assigns all IP to SeaCulture during the course of employment</a:t>
          </a:r>
        </a:p>
        <a:p>
          <a:pPr marL="57150" lvl="1" indent="-57150" algn="l" defTabSz="266700">
            <a:lnSpc>
              <a:spcPct val="90000"/>
            </a:lnSpc>
            <a:spcBef>
              <a:spcPct val="0"/>
            </a:spcBef>
            <a:spcAft>
              <a:spcPct val="15000"/>
            </a:spcAft>
            <a:buChar char="•"/>
          </a:pPr>
          <a:r>
            <a:rPr lang="en-AU" sz="600" kern="1200"/>
            <a:t>Focus: Site specific soil lab trials (IP Generated)</a:t>
          </a:r>
        </a:p>
      </dsp:txBody>
      <dsp:txXfrm>
        <a:off x="3885271" y="1300206"/>
        <a:ext cx="1564481" cy="938688"/>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14</Pages>
  <Words>6711</Words>
  <Characters>40068</Characters>
  <Application>Microsoft Office Word</Application>
  <DocSecurity>0</DocSecurity>
  <Lines>702</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Alison Duguid</cp:lastModifiedBy>
  <cp:revision>97</cp:revision>
  <dcterms:created xsi:type="dcterms:W3CDTF">2026-09-17T06:21:00Z</dcterms:created>
  <dcterms:modified xsi:type="dcterms:W3CDTF">2026-09-27T03:54:00Z</dcterms:modified>
</cp:coreProperties>
</file>