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Readings: Project Design (Prototyping) and Universal Design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i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Brown, T. (2008). “Design Thinking.”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Harvard Business Review, June 2008.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https://new-ideo-com.s3.amazonaws.com/assets/files/pdfs/IDEO_HBR_DT_08.pdf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Econsultancy “Five Digital-to-Physical Social Campaigns that will Inspire Us in 2016”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https://econsultancy.com/five-digital-to-physical-social-campaigns-that-will-inspire-us-in-2016/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Lee, Jinha “Reach into the Computer and Grab a Pixel” </w:t>
      </w:r>
    </w:p>
    <w:p w:rsidR="00000000" w:rsidDel="00000000" w:rsidP="00000000" w:rsidRDefault="00000000" w:rsidRPr="00000000" w14:paraId="0000000A">
      <w:pPr>
        <w:widowControl w:val="0"/>
        <w:spacing w:before="56" w:line="240" w:lineRule="auto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https://www.ted.com/talks/jinha_lee_a_tool_that_lets_you_touch_pixels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National Geographic “How 3-D-Printed Prosthetic Hands are Changing These Kids’ Lives”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https://youtu.be/Cl8ijPGEKO8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Ogilvy Panama “The Tweeting Pothole”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https://youtu.be/B0FrWFXkwTU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Palacios, Katie “The 7 Principles of Universal Design: A Nonlecture”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https://youtu.be/d-GzKyK0iw4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Posner, Miriam “Getting Started with Palladio”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https://miriamposner.com/blog/getting-started-with-palladio/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Ramsay, S. (2014). “</w:t>
      </w:r>
      <w:r w:rsidDel="00000000" w:rsidR="00000000" w:rsidRPr="00000000">
        <w:rPr>
          <w:rFonts w:ascii="Calibri" w:cs="Calibri" w:eastAsia="Calibri" w:hAnsi="Calibri"/>
          <w:color w:val="231f20"/>
          <w:sz w:val="28"/>
          <w:szCs w:val="28"/>
          <w:rtl w:val="0"/>
        </w:rPr>
        <w:t xml:space="preserve">The Hermeneutics of Screwing Around; or What You Do with a Million Books.” </w:t>
      </w:r>
      <w:r w:rsidDel="00000000" w:rsidR="00000000" w:rsidRPr="00000000">
        <w:rPr>
          <w:rFonts w:ascii="Calibri" w:cs="Calibri" w:eastAsia="Calibri" w:hAnsi="Calibri"/>
          <w:i w:val="1"/>
          <w:color w:val="231f20"/>
          <w:sz w:val="28"/>
          <w:szCs w:val="28"/>
          <w:rtl w:val="0"/>
        </w:rPr>
        <w:t xml:space="preserve">PastPlay Teaching and Learning History with Technology</w:t>
      </w:r>
      <w:r w:rsidDel="00000000" w:rsidR="00000000" w:rsidRPr="00000000">
        <w:rPr>
          <w:rFonts w:ascii="Palatino" w:cs="Palatino" w:eastAsia="Palatino" w:hAnsi="Palatino"/>
          <w:b w:val="1"/>
          <w:i w:val="1"/>
          <w:color w:val="231f2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31f20"/>
          <w:sz w:val="28"/>
          <w:szCs w:val="28"/>
          <w:rtl w:val="0"/>
        </w:rPr>
        <w:br w:type="textWrapping"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https://quod.lib.umich.edu/d/dh/12544152.0001.001/1:5/--pastplay-teaching-and-learning-history-with-technology?g=dculture;rgn=div1;view=fulltext;xc=1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Williams, George H. (2012). “Disability, Universal Design, and the Digital Humanities.” Chapter 12 in Debates in the Digital Humanities (Matthew K. Gold, Editor). Minneapolis: University of Minnesota Press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https://dhdebates.gc.cuny.edu/read/untitled-88c11800-9446-469b-a3be-3fdb36bfbd1e/section/2a59a6fe-3e93-43ae-a42f-1b26d1b4becc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d-GzKyK0iw4" TargetMode="External"/><Relationship Id="rId10" Type="http://schemas.openxmlformats.org/officeDocument/2006/relationships/hyperlink" Target="https://youtu.be/B0FrWFXkwTU" TargetMode="External"/><Relationship Id="rId13" Type="http://schemas.openxmlformats.org/officeDocument/2006/relationships/hyperlink" Target="https://quod.lib.umich.edu/d/dh/12544152.0001.001/1:5/--pastplay-teaching-and-learning-history-with-technology?g=dculture;rgn=div1;view=fulltext;xc=1" TargetMode="External"/><Relationship Id="rId12" Type="http://schemas.openxmlformats.org/officeDocument/2006/relationships/hyperlink" Target="https://miriamposner.com/blog/getting-started-with-pallad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l8ijPGEKO8" TargetMode="External"/><Relationship Id="rId14" Type="http://schemas.openxmlformats.org/officeDocument/2006/relationships/hyperlink" Target="https://dhdebates.gc.cuny.edu/read/untitled-88c11800-9446-469b-a3be-3fdb36bfbd1e/section/2a59a6fe-3e93-43ae-a42f-1b26d1b4becc" TargetMode="External"/><Relationship Id="rId5" Type="http://schemas.openxmlformats.org/officeDocument/2006/relationships/styles" Target="styles.xml"/><Relationship Id="rId6" Type="http://schemas.openxmlformats.org/officeDocument/2006/relationships/hyperlink" Target="https://new-ideo-com.s3.amazonaws.com/assets/files/pdfs/IDEO_HBR_DT_08.pdf" TargetMode="External"/><Relationship Id="rId7" Type="http://schemas.openxmlformats.org/officeDocument/2006/relationships/hyperlink" Target="https://econsultancy.com/five-digital-to-physical-social-campaigns-that-will-inspire-us-in-2016/" TargetMode="External"/><Relationship Id="rId8" Type="http://schemas.openxmlformats.org/officeDocument/2006/relationships/hyperlink" Target="https://www.ted.com/talks/jinha_lee_a_tool_that_lets_you_touch_pi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