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Section E. Additional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Articles, Books, Papers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Buolamwini, J., and T. Gebru (2018). “Gender Shades: Intersectional Accuracy Disparities in Commercial Gender Classification.”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Proceedings of Machine Learning Research,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81:1-15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http://proceedings.mlr.press/v81/buolamwini18a/buolamwini18a.pdf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Cohen, P. (2010). “Digital Keys for Unlocking the Humanities’ Riches.”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November 16, 2010.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https://www.nytimes.com/2010/11/17/arts/17digital.html?_r=0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Doctorow, C. (2009).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Little Brother,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http://www.gutenberg.org/files/30142/30142-h/30142-h.htm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Lanier, J. (2019).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Ten Arguments for Deleting Your Social Media Accounts Right Now.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New York: Picador, Henry Holt, 126 pp.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Madrigal, A. (2014). “How Netflix Reverse-Engineered Hollywood.”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Atlantic,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hyperlink r:id="rId9">
        <w:r w:rsidDel="00000000" w:rsidR="00000000" w:rsidRPr="00000000">
          <w:rPr>
            <w:rFonts w:ascii="Calibri" w:cs="Calibri" w:eastAsia="Calibri" w:hAnsi="Calibri"/>
            <w:color w:val="1f4e79"/>
            <w:sz w:val="28"/>
            <w:szCs w:val="28"/>
            <w:u w:val="single"/>
            <w:rtl w:val="0"/>
          </w:rPr>
          <w:t xml:space="preserve">https://www.theatlantic.com/technology/archive/2014/01/hownetflix-reverse-engineered-hollywood/282679/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Noble, S. U. (2018).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Algorithms of Oppression: How Search Engines Reinforce Racism.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New York: New York University Press.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O’Neil, C. (2016). Weapons of Math Destruction: How Big Data Increases Inequality and Threatens Democracy. New York: Crown, 259 pp.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cfe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Schwartz, B. M. (2003). Hot or Not? Website Briefly Judges Looks, </w:t>
      </w:r>
      <w:r w:rsidDel="00000000" w:rsidR="00000000" w:rsidRPr="00000000">
        <w:rPr>
          <w:rFonts w:ascii="Calibri" w:cs="Calibri" w:eastAsia="Calibri" w:hAnsi="Calibri"/>
          <w:color w:val="006e7a"/>
          <w:sz w:val="28"/>
          <w:szCs w:val="28"/>
          <w:u w:val="single"/>
          <w:rtl w:val="0"/>
        </w:rPr>
        <w:t xml:space="preserve">https://www.thecrimson.com/article/2003/11/4/hot-or-not-website-briefly-judges/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Vaidhyanathan, S. (2018).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Antisocial Media: How Facebook Disconnects Us and Undermines Democracy.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New York: Oxford University Press, 272 pp.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Zuboff, S. (2019).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Age of Surveillance Capitalism: The Fight for a Human Future at the New Frontier of Power.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London: Profile Books, 691 pp.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Youtube Screenings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Childhood 2.0,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Social Media Dangers Documentary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https://youtu.be/He3IJJhFy-I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Color Film was Built for White People. Here’s What it Did to Dark Skin,</w:t>
      </w:r>
      <w:hyperlink r:id="rId11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https://youtu.be/d16LNHIEJzs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Facebook Dilemma,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https://www.youtube.com/watch?v=T48KFiHwexM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Jaron Lanier Fixes the Internet,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Opinion,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https://www.youtube.com/watch?v=Np5ri-KktNs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Websites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Doctorow, C. (2001). Metacrap: Putting the Torch to the Seven Straw-Men of Meta-Utopia,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https://chnm.gmu.edu/digitalhistory/links/pdf/preserving/8_17.pdf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a Digital Humanities Project? University of Sheffield,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https://www.dhi.ac.uk/what-is-a-digital-humanities-project/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YET TO ADD TO THIS DOCUMENT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Short description and film from the National Humanities Center,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https://action.nationalhumanitiescenter.org/what-are-humanities/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#humanities 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4Humanities: Advocating for the Humanities: What are the Humanities?,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https://4humanities.org/2014/12/what-are-the-humanities/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Guide to Issues in Humanities Advocacy,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https://4humanities.org/guide-to-issues-in-humanities-advocacy/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d16LNHIEJzs" TargetMode="External"/><Relationship Id="rId10" Type="http://schemas.openxmlformats.org/officeDocument/2006/relationships/hyperlink" Target="https://youtu.be/He3IJJhFy-I" TargetMode="External"/><Relationship Id="rId13" Type="http://schemas.openxmlformats.org/officeDocument/2006/relationships/hyperlink" Target="https://www.youtube.com/watch?v=T48KFiHwexM" TargetMode="External"/><Relationship Id="rId12" Type="http://schemas.openxmlformats.org/officeDocument/2006/relationships/hyperlink" Target="https://youtu.be/d16LNHIEJz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atlantic.com/technology/archive/2014/01/hownetflix-reverse-engineered-hollywood/282679/" TargetMode="External"/><Relationship Id="rId15" Type="http://schemas.openxmlformats.org/officeDocument/2006/relationships/hyperlink" Target="https://chnm.gmu.edu/digitalhistory/links/pdf/preserving/8_17.pdf" TargetMode="External"/><Relationship Id="rId14" Type="http://schemas.openxmlformats.org/officeDocument/2006/relationships/hyperlink" Target="https://www.youtube.com/watch?v=Np5ri-KktNs" TargetMode="External"/><Relationship Id="rId17" Type="http://schemas.openxmlformats.org/officeDocument/2006/relationships/hyperlink" Target="https://action.nationalhumanitiescenter.org/what-are-humanities/" TargetMode="External"/><Relationship Id="rId16" Type="http://schemas.openxmlformats.org/officeDocument/2006/relationships/hyperlink" Target="https://www.dhi.ac.uk/what-is-a-digital-humanities-projec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4humanities.org/guide-to-issues-in-humanities-advocacy/" TargetMode="External"/><Relationship Id="rId6" Type="http://schemas.openxmlformats.org/officeDocument/2006/relationships/hyperlink" Target="http://proceedings.mlr.press/v81/buolamwini18a/buolamwini18a.pdf" TargetMode="External"/><Relationship Id="rId18" Type="http://schemas.openxmlformats.org/officeDocument/2006/relationships/hyperlink" Target="https://4humanities.org/2014/12/what-are-the-humanities/" TargetMode="External"/><Relationship Id="rId7" Type="http://schemas.openxmlformats.org/officeDocument/2006/relationships/hyperlink" Target="https://www.nytimes.com/2010/11/17/arts/17digital.html?_r=0" TargetMode="External"/><Relationship Id="rId8" Type="http://schemas.openxmlformats.org/officeDocument/2006/relationships/hyperlink" Target="http://www.gutenberg.org/files/30142/30142-h/30142-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