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Ted Underwood, Topic Modelling Made Just Simple Enough,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https://tedunderwood.com/2012/04/07/topic-modeling-made-just-simple-enough/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Nan Z. Da,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Digital Humanities Debacle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: Computational methods repeatedly come up short,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https://www.chronicle.com/article/the-digital-humanities-debacle/?bc_nonce=isd3x3td5ue4qdxjz9ozm&amp;cid=reg_wall_signup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dunderwood.com/2012/04/07/topic-modeling-made-just-simple-enough/" TargetMode="External"/><Relationship Id="rId7" Type="http://schemas.openxmlformats.org/officeDocument/2006/relationships/hyperlink" Target="https://www.chronicle.com/article/the-digital-humanities-debacle/?bc_nonce=isd3x3td5ue4qdxjz9ozm&amp;cid=reg_wall_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