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211" w:firstLine="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Drucker, Johanna. (2011). Humanities Approaches to Graphical Display.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Digital Humanities Quarterly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, 5.1, </w:t>
      </w:r>
    </w:p>
    <w:p w:rsidR="00000000" w:rsidDel="00000000" w:rsidP="00000000" w:rsidRDefault="00000000" w:rsidRPr="00000000" w14:paraId="00000002">
      <w:pPr>
        <w:spacing w:line="240" w:lineRule="auto"/>
        <w:ind w:left="211" w:firstLine="0"/>
        <w:rPr>
          <w:rFonts w:ascii="Calibri" w:cs="Calibri" w:eastAsia="Calibri" w:hAnsi="Calibri"/>
          <w:sz w:val="28"/>
          <w:szCs w:val="28"/>
          <w:highlight w:val="white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highlight w:val="white"/>
            <w:u w:val="single"/>
            <w:rtl w:val="0"/>
          </w:rPr>
          <w:t xml:space="preserve">http://www.digitalhumanities.org/dhq/vol/5/1/000091/000091.html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 in place of other Drucker reading for free article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digitalhumanities.org/dhq/vol/5/1/000091/00009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