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color w:val="1c4587"/>
          <w:sz w:val="28"/>
          <w:szCs w:val="28"/>
        </w:rPr>
      </w:pPr>
      <w:bookmarkStart w:colFirst="0" w:colLast="0" w:name="_heading=h.gjdgxs" w:id="0"/>
      <w:bookmarkEnd w:id="0"/>
      <w:r w:rsidDel="00000000" w:rsidR="00000000" w:rsidRPr="00000000">
        <w:rPr>
          <w:rFonts w:ascii="Calibri" w:cs="Calibri" w:eastAsia="Calibri" w:hAnsi="Calibri"/>
          <w:color w:val="1c4587"/>
          <w:sz w:val="28"/>
          <w:szCs w:val="28"/>
          <w:rtl w:val="0"/>
        </w:rPr>
        <w:t xml:space="preserve">Digital Humanities Collaborative Project Proposal</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Benchmark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Name/Title &amp;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title is informative and clearly indicates the relevant details of the proposed study. Team members’ full names Marist email addresses are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Clearly and compellingly describes the relevant background to contextualize the project’s focus, significance, and form. Integrates research that persuasively justifies the appropriateness of the choice of subject matter, research study, and digital design to our present moment, particular disciplinary traditions/interests, and/or personal connections. Poses 3-5 research questions that the project aims to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Statement of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States the purpose of the study, connecting the subject, design, and/or form to political, moral, ethical, professional, or social implications related to systemic power dynamics.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Lists outcomes the project must achieve to be considered complete: Will this be a prototype? If so, what will be realized in this first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Tools &amp;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Specifically names tools used to realize this project, exhibiting research and consideration of what will work best for the project’s affordances and limitations. Discusses what data will need to be collected, how/where it will be collected, and considers the ethical dimensions of this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Includes a comprehensive, detailed timeline for the project. Reflects major deadlines for activities and significantly breaks down the time between course deadlines into smaller, meaningful tasks, assigning a balanced individual workload and weekly group meetings. If necessary, also includes what will not be included in the scope of your project.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nbyzEeZWLrj0P08vupgXPFOQkA==">AMUW2mVyY8lXb89qDnJ6O3o0KgZGyEcVG335kTrda/tVL2iGxpfqFEirthdudNOEy388/0NHVIVFT8mAZvh2SUJL47twKYxvfnizBcQUqSF5nSZREFwOoHZGrmkepeU1F2Grk69Jg/q6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