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Nathan Yau, </w:t>
      </w:r>
      <w:hyperlink r:id="rId6">
        <w:r w:rsidDel="00000000" w:rsidR="00000000" w:rsidRPr="00000000">
          <w:rPr>
            <w:rFonts w:ascii="Calibri" w:cs="Calibri" w:eastAsia="Calibri" w:hAnsi="Calibri"/>
            <w:i w:val="1"/>
            <w:sz w:val="28"/>
            <w:szCs w:val="28"/>
            <w:rtl w:val="0"/>
          </w:rPr>
          <w:t xml:space="preserve">Visualize This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(Chapter 1, “Telling Stories with Data”),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https://play.google.com/books/reader?id=CB9XRIv9oigC&amp;printsec=frontcover&amp;output=reader&amp;hl=en&amp;pg=GBS.PP5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.google.com/books/reader?id=CB9XRIv9oigC&amp;printsec=frontcover&amp;output=reader&amp;hl=en&amp;pg=GBS.PP5" TargetMode="External"/><Relationship Id="rId7" Type="http://schemas.openxmlformats.org/officeDocument/2006/relationships/hyperlink" Target="https://play.google.com/books/reader?id=CB9XRIv9oigC&amp;printsec=frontcover&amp;output=reader&amp;hl=en&amp;pg=GBS.PP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