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2.0  |  2026-10-01</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Vassalise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Vassalise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Five-layer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Interview pending.</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Interview pending.</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Vassalise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Vassalise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Interview pending.</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Interview pending.</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Five-layer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Status of every item: Proposed until the owner decides.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Two pillars playable at region scale: Trade (barter and debts) and Religion (sacred fire and followers). The other four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PIL-04,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or Religion, or 50% combined).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Politics, Technology,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Two pillars are enough to test 'many paths to dominance'; combat is the most expensive system.</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Next (Politics), Later (others)</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minimum PC (OPEN-19)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419100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419100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likely plan with optimistic and pessimistic finishes. Drawn for v1.3: it shows neither the engine-first order nor Luna Physics (M1b), nor the Story engine (M2b); the table below (v1.6) is authoritative.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M9 on the richer game (owner, 2026-10-01,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88 / 133 / 174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and M7-M9 (v2.0). About 30.7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2026-10-01): the playtest is held on the game with world interactions and dialogue.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Open</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Open</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Proposed</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Proposed</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Open</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M9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93 stories in 17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