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2.4  |  2026-10-01</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Vassalise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Vassalise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game renders at 960x540 (twice the old 480x270), scales crisply by whole steps (2x at 1080p, 4x at 2160p) with an optional Fill mode, runs windowed (several sizes), borderless or exclusive full screen, with a camera zoom (default 2x, the old view; 1x shows twice as much) and a UI scale.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Five-layer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Interview pending.</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Interview pending.</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game renders at 960x540 (twice the old 480x270), scales crisply by whole steps (2x at 1080p, 4x at 2160p) with an optional Fill mode, runs windowed (several sizes), borderless or exclusive full screen, with a camera zoom (default 2x, the old view; 1x shows twice as much) and a UI scale.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Vassalise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Vassalise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Interview pending.</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Interview pending.</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Five-layer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Status of every item: Proposed until the owner decides.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419100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419100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likely plan with optimistic and pessimistic finishes. Drawn for v1.3: it shows neither the engine-first order nor Luna Physics (M1b), nor the Story engine (M2b); the table below (v1.6) is authoritative.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163 / 245 / 327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Open</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Proposed</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Proposed</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Open</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151 stories in 26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scales by 2 and by 4 with no blur and no border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windowed (with sizes),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mode changes at once and is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scales by 2 with a thin border, or fills the screen smoothly if the player chooses Fill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zooms out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view shows 1x (30 x 17 tiles) and back, around the hero</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switches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panels, the font and the hotbar resize and stay crisp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US-240..US-247)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