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Premium pricing — netback basis for competitive comparison</w:t>
      </w:r>
    </w:p>
    <w:p>
      <w:r>
        <w:rPr>
          <w:b w:val="0"/>
          <w:i/>
        </w:rPr>
        <w:t>Internal note, Commercial Finance. Circulated to the pricing workstream.</w:t>
      </w:r>
    </w:p>
    <w:p>
      <w:r>
        <w:rPr>
          <w:b w:val="0"/>
          <w:i w:val="0"/>
        </w:rPr>
      </w:r>
    </w:p>
    <w:p>
      <w:r>
        <w:rPr>
          <w:b w:val="0"/>
          <w:i w:val="0"/>
        </w:rPr>
        <w:t>A recurring problem in our premium pricing work is that headline pump values are not comparable — either between operators or across periods — because they carry consumption taxes that have nothing to do with commercial performance. Two adjustments matter.</w:t>
      </w:r>
    </w:p>
    <w:p>
      <w:r>
        <w:rPr>
          <w:b w:val="0"/>
          <w:i w:val="0"/>
        </w:rPr>
        <w:t>First, VAT. Pump prices are quoted VAT-inclusive, so any figure taken straight off a station extract or a Ministry price table is inflated by 11% before a single commercial conclusion is drawn.</w:t>
      </w:r>
    </w:p>
    <w:p>
      <w:r>
        <w:rPr>
          <w:b w:val="0"/>
          <w:i w:val="0"/>
        </w:rPr>
        <w:t>Second, excise. On premium grades the specific duty is substantial — at SRP 1,250 per litre on RON 95 it is roughly a tenth of the pump price — and it moves with gazette notices rather than with anything we or our competitors decide.</w:t>
      </w:r>
    </w:p>
    <w:p>
      <w:r>
        <w:rPr>
          <w:b w:val="0"/>
          <w:i w:val="0"/>
        </w:rPr>
        <w:t>For competitive benchmarking the Commercial Finance team therefore works on a netback basis: pump value less VAT, less excise duty. That is the number that reflects what the fuel is actually earning at the forecourt once the state has taken its share, and it is the basis we use when we compare ourselves to ArthaFuel and KhatuFuel or when we look at premium performance across quarters.</w:t>
      </w:r>
    </w:p>
    <w:p>
      <w:r>
        <w:rPr>
          <w:b w:val="0"/>
          <w:i w:val="0"/>
        </w:rPr>
        <w:t>Analysts pulling premium figures for the diagnostic should be aware that a raw sum off the station extract is not on this basis and will overstate the commercial picture considerably. Please flag clearly which basis any figure is stated on — most of the confusion in the last cycle came from figures being circulated with no basis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