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b/>
          <w:bCs/>
          <w:i w:val="false"/>
          <w:iCs w:val="false"/>
        </w:rPr>
        <w:t xml:space="preserve">From: Priya Nair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To: Thomas Kaur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Date: 12 May 2026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Subject: numbers for the premium section — need today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Hi Thomas,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For the premium-fuel section of the diagnostic I need the Q1 2026 numbers on PetroNusa’s RON 95 premium gasoline. Please pull: premium retail revenue, the number of stations selling it, and the realised-versus-posted price gap. Use the latest premium sales file in the folder.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Also give me PetroNusa’s share of the Sariwon premium-gasoline market, broken out by region — the board loves a regional view. The premium market is worth about USD 2 billion, so you can work the share off that.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Put the figures in the report.json so the model team can pick them up. Thanks — need this by end of day.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Priya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