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Republic of Sariwon — Fuel Taxes and Duties (reference schedule)</w:t>
      </w:r>
    </w:p>
    <w:p>
      <w:r>
        <w:rPr>
          <w:b w:val="0"/>
          <w:i/>
        </w:rPr>
        <w:t>Aurelian &amp; Co. internal reference. Compiled from Ministry of Energy gazette notices and the Sariwon Tax Code. Current for FY2026 Q1.</w:t>
      </w:r>
    </w:p>
    <w:p>
      <w:r>
        <w:rPr>
          <w:b w:val="0"/>
          <w:i w:val="0"/>
        </w:rPr>
      </w:r>
    </w:p>
    <w:p>
      <w:r>
        <w:rPr>
          <w:b/>
          <w:sz w:val="24"/>
        </w:rPr>
        <w:t>1. Value Added Tax (VAT)</w:t>
      </w:r>
    </w:p>
    <w:p>
      <w:r>
        <w:rPr>
          <w:b w:val="0"/>
          <w:i w:val="0"/>
        </w:rPr>
        <w:t>VAT is levied at 11% on retail sales of motor fuels. Retail pump prices published by the Ministry of Energy, and the ceiling prices set under the quarterly price-adjustment mechanism, are quoted on a VAT-inclusive basis. VAT is collected by the retailer at the point of sale and remitted monthly to the Directorate of Taxation; the retailer acts as collection agent and does not retain any part of the amount collected.</w:t>
      </w:r>
    </w:p>
    <w:p>
      <w:r>
        <w:rPr>
          <w:b w:val="0"/>
          <w:i w:val="0"/>
        </w:rPr>
        <w:t>2026 Q1 rate: 11.0% (unchanged since 2021). VAT-inclusive price ÷ 1.11 = price excluding VAT.</w:t>
      </w:r>
    </w:p>
    <w:p>
      <w:r>
        <w:rPr>
          <w:b w:val="0"/>
          <w:i w:val="0"/>
        </w:rPr>
      </w:r>
    </w:p>
    <w:p>
      <w:r>
        <w:rPr>
          <w:b/>
          <w:sz w:val="24"/>
        </w:rPr>
        <w:t>2. Excise duty on motor gasoline</w:t>
      </w:r>
    </w:p>
    <w:p>
      <w:r>
        <w:rPr>
          <w:b w:val="0"/>
          <w:i w:val="0"/>
        </w:rPr>
        <w:t>Excise is a specific (per-litre) duty levied on the licensed importer or refiner at the point of release from bonded storage, not at the point of retail sale. Liability sits with the licence holder. Current rates:</w:t>
      </w:r>
    </w:p>
    <w:p>
      <w:r>
        <w:rPr>
          <w:b w:val="0"/>
          <w:i w:val="0"/>
        </w:rPr>
        <w:t xml:space="preserve">   RON 90 (subsidised)  —  SRP 340 per litre</w:t>
      </w:r>
    </w:p>
    <w:p>
      <w:r>
        <w:rPr>
          <w:b w:val="0"/>
          <w:i w:val="0"/>
        </w:rPr>
        <w:t xml:space="preserve">   RON 92                —  SRP 900 per litre</w:t>
      </w:r>
    </w:p>
    <w:p>
      <w:r>
        <w:rPr>
          <w:b w:val="0"/>
          <w:i w:val="0"/>
        </w:rPr>
        <w:t xml:space="preserve">   RON 95 (premium)      —  SRP 1,250 per litre</w:t>
      </w:r>
    </w:p>
    <w:p>
      <w:r>
        <w:rPr>
          <w:b w:val="0"/>
          <w:i w:val="0"/>
        </w:rPr>
        <w:t xml:space="preserve">   Automotive diesel     —  SRP 410 per litre</w:t>
      </w:r>
    </w:p>
    <w:p>
      <w:r>
        <w:rPr>
          <w:b w:val="0"/>
          <w:i w:val="0"/>
        </w:rPr>
        <w:t>Excise is embedded in the wholesale and pump price and is not separately itemised on retail receipts.</w:t>
      </w:r>
    </w:p>
    <w:p>
      <w:r>
        <w:rPr>
          <w:b w:val="0"/>
          <w:i w:val="0"/>
        </w:rPr>
      </w:r>
    </w:p>
    <w:p>
      <w:r>
        <w:rPr>
          <w:b/>
          <w:sz w:val="24"/>
        </w:rPr>
        <w:t>3. Reporting note</w:t>
      </w:r>
    </w:p>
    <w:p>
      <w:r>
        <w:rPr>
          <w:b w:val="0"/>
          <w:i w:val="0"/>
        </w:rPr>
        <w:t>PetroNusa Tbk states revenue in its statutory and management accounts in accordance with Sariwon Financial Reporting Standards. Under SFRS 15, amounts collected on behalf of third parties are excluded from revenue, while duties for which the entity is itself the liable party are not. Consistent with this, the Group reports fuel revenue excluding VAT and including excise duty. The Group revenue and fuel retail revenue lines in the company profile are stated on this basis.</w:t>
      </w:r>
    </w:p>
    <w:p>
      <w:r>
        <w:rPr>
          <w:b w:val="0"/>
          <w:i w:val="0"/>
        </w:rPr>
      </w:r>
    </w:p>
    <w:p>
      <w:r>
        <w:rPr>
          <w:b/>
          <w:sz w:val="24"/>
        </w:rPr>
        <w:t>4. Other levies</w:t>
      </w:r>
    </w:p>
    <w:p>
      <w:r>
        <w:rPr>
          <w:b w:val="0"/>
          <w:i w:val="0"/>
        </w:rPr>
        <w:t>An Energy Price Stabilisation Fund contribution of SRP 25 per litre applies to subsidised grades only (RON 90, subsidised diesel). It does not apply to RON 92, RON 95 or lubricants. A regional retail levy of up to 0.5% applies in two provinces and is administered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