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 w:before="200"/>
      </w:pPr>
      <w:r>
        <w:t xml:space="preserve">Expert network call — downstream premium fuels (notes)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Call with a former regional fuels commercial director. Rough notes, not verbatim.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On PetroNusa premium: "honestly from memory I’d say their premium revenue is somewhere around SRP 210 billion a quarter, maybe a bit more." Caveated that this was his recollection and that the figure he was thinking of was the combined mid-plus-premium pool in a neighbouring market he advised, not PetroNusa’s audited RON 95 book.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Thought the premium market was "growing nicely" but had no hard size for Sariwon specifically.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— Useful colour on why premium customers are less price-sensitive; no auditable data provided.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