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etronusa-company-profile"/>
    <w:p>
      <w:pPr>
        <w:pStyle w:val="Heading1"/>
      </w:pPr>
      <w:r>
        <w:t xml:space="preserve">PetroNusa — Company Profile</w:t>
      </w:r>
    </w:p>
    <w:p>
      <w:pPr>
        <w:pStyle w:val="FirstParagraph"/>
      </w:pPr>
      <w:r>
        <w:rPr>
          <w:iCs/>
          <w:i/>
        </w:rPr>
        <w:t xml:space="preserve">Internal opportunity file. Prepared by the Aurelian &amp; Co. Southeast Asia downstream practice.</w:t>
      </w:r>
    </w:p>
    <w:p>
      <w:r>
        <w:pict>
          <v:rect style="width:0;height:1.5pt" o:hralign="center" o:hrstd="t" o:hr="t"/>
        </w:pict>
      </w:r>
    </w:p>
    <w:bookmarkStart w:id="20" w:name="at-a-glance"/>
    <w:p>
      <w:pPr>
        <w:pStyle w:val="Heading2"/>
      </w:pPr>
      <w:r>
        <w:t xml:space="preserve">At a glance</w:t>
      </w:r>
    </w:p>
    <w:p>
      <w:pPr>
        <w:pStyle w:val="FirstParagraph"/>
      </w:pPr>
      <w:r>
        <w:t xml:space="preserve">PetroNusa is the largest national fuel retailer in the Republic of Sariwon, a Southeast Asian economy of approximately 85 million people. The Group operates approximately 620 service stations across the country, holding an estimated 34% share of the national retail fuel market by volume.</w:t>
      </w:r>
    </w:p>
    <w:p>
      <w:pPr>
        <w:pStyle w:val="BodyText"/>
      </w:pPr>
      <w:r>
        <w:rPr>
          <w:bCs/>
          <w:b/>
        </w:rPr>
        <w:t xml:space="preserve">Sariwon context: Population ~85M, GDP per capita ~USD 5,200, vehicle parc ~21M (predominantly two- and three-wheelers; passenger car penetration ~62 per 1,000 people). Diesel and gasoline retail prices are partially regulated, with a quarterly price-adjustment mechanism managed by the Ministry of Energy and Mineral Resources. EV penetration of new vehicle sales is around 4%, concentrated in the two largest urban centres.</w:t>
      </w:r>
      <w:r>
        <w:t xml:space="preserve"/>
      </w:r>
      <w:r>
        <w:t xml:space="preserve"/>
      </w:r>
    </w:p>
    <w:p>
      <w:r>
        <w:pict>
          <v:rect style="width:0;height:1.5pt" o:hralign="center" o:hrstd="t" o:hr="t"/>
        </w:pict>
      </w:r>
    </w:p>
    <w:bookmarkEnd w:id="20"/>
    <w:bookmarkStart w:id="21" w:name="ownership"/>
    <w:p>
      <w:pPr>
        <w:pStyle w:val="Heading2"/>
      </w:pPr>
      <w:r>
        <w:t xml:space="preserve">Ownership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Sariwon Sovereign Investment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Wijaya Family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p>
      <w:pPr>
        <w:pStyle w:val="BodyText"/>
      </w:pPr>
      <w:r>
        <w:t xml:space="preserve">Listed on the Sariwon Stock Exchange (ticker: PNUS). The Sovereign Investment Authority nominates four of the eleven Board seats.</w:t>
      </w:r>
    </w:p>
    <w:p>
      <w:r>
        <w:pict>
          <v:rect style="width:0;height:1.5pt" o:hralign="center" o:hrstd="t" o:hr="t"/>
        </w:pict>
      </w:r>
    </w:p>
    <w:bookmarkEnd w:id="21"/>
    <w:bookmarkStart w:id="22" w:name="network"/>
    <w:p>
      <w:pPr>
        <w:pStyle w:val="Heading2"/>
      </w:pPr>
      <w:r>
        <w:t xml:space="preserve">Network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Company-Owned, Company-Operated (COCO)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Dealer-Owned, Dealer-Operated (DODO)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The network is concentrated in the four largest urban regions, which account for approximately 65% of stations and 71% of fuel volume. Rural network presence is limited and has been declining as a share of the estate.</w:t>
      </w:r>
    </w:p>
    <w:p>
      <w:r>
        <w:pict>
          <v:rect style="width:0;height:1.5pt" o:hralign="center" o:hrstd="t" o:hr="t"/>
        </w:pict>
      </w:r>
    </w:p>
    <w:bookmarkEnd w:id="22"/>
    <w:bookmarkStart w:id="23" w:name="financial-summary"/>
    <w:p>
      <w:pPr>
        <w:pStyle w:val="Heading2"/>
      </w:pPr>
      <w:r>
        <w:t xml:space="preserve">Financial summary</w:t>
      </w:r>
    </w:p>
    <w:p>
      <w:pPr>
        <w:pStyle w:val="FirstParagraph"/>
      </w:pPr>
      <w:r>
        <w:t xml:space="preserve">Latest full year (in USD millions, indicative):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retail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Non-fuel retail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net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Margin trajectory:</w:t>
      </w:r>
      <w:r>
        <w:t xml:space="preserve"> </w:t>
      </w:r>
      <w:r>
        <w:t xml:space="preserve">Group EBITDA margin declined from 8.40% in FY2023 to 6.19% in FY2024, a compression of 2.21 percentage points in a single year. The decline is driven principally by fuel retail; non-fuel retail margins have been flat at a small contribution to Group.</w:t>
      </w:r>
    </w:p>
    <w:p>
      <w:pPr>
        <w:pStyle w:val="BodyText"/>
      </w:pPr>
      <w:r>
        <w:rPr>
          <w:bCs/>
          <w:b/>
        </w:rPr>
        <w:t xml:space="preserve">Non-fuel retail share of revenue:</w:t>
      </w:r>
      <w:r>
        <w:t xml:space="preserve"> </w:t>
      </w:r>
      <w:r>
        <w:t xml:space="preserve">3.0% of Group revenue, compared with 6-8% at comparable regional peers on the same definition.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mix"/>
    <w:p>
      <w:pPr>
        <w:pStyle w:val="Heading2"/>
      </w:pPr>
      <w:r>
        <w:t xml:space="preserve">Product mix</w:t>
      </w:r>
    </w:p>
    <w:p>
      <w:pPr>
        <w:pStyle w:val="FirstParagraph"/>
      </w:pPr>
      <w:r>
        <w:t xml:space="preserve">Fuel retail revenue is split approximately:</w:t>
      </w:r>
    </w:p>
    <w:p>
      <w:pPr>
        <w:numPr>
          <w:ilvl w:val="0"/>
          <w:numId w:val="1001"/>
        </w:numPr>
        <w:pStyle w:val="Compact"/>
      </w:pPr>
      <w:r>
        <w:t xml:space="preserve">Gasoline (regular and premium grades): 58%</w:t>
      </w:r>
    </w:p>
    <w:p>
      <w:pPr>
        <w:numPr>
          <w:ilvl w:val="0"/>
          <w:numId w:val="1001"/>
        </w:numPr>
        <w:pStyle w:val="Compact"/>
      </w:pPr>
      <w:r>
        <w:t xml:space="preserve">Diesel: 36%</w:t>
      </w:r>
    </w:p>
    <w:p>
      <w:pPr>
        <w:numPr>
          <w:ilvl w:val="0"/>
          <w:numId w:val="1001"/>
        </w:numPr>
        <w:pStyle w:val="Compact"/>
      </w:pPr>
      <w:r>
        <w:t xml:space="preserve">LPG and other liquid products: 4%</w:t>
      </w:r>
    </w:p>
    <w:p>
      <w:pPr>
        <w:numPr>
          <w:ilvl w:val="0"/>
          <w:numId w:val="1001"/>
        </w:numPr>
        <w:pStyle w:val="Compact"/>
      </w:pPr>
      <w:r>
        <w:t xml:space="preserve">Lubricants and ancillaries: 2%</w:t>
      </w:r>
    </w:p>
    <w:p>
      <w:pPr>
        <w:pStyle w:val="FirstParagraph"/>
      </w:pPr>
      <w:r>
        <w:t xml:space="preserve">Non-fuel retail revenue is principally:</w:t>
      </w:r>
      <w:r>
        <w:t xml:space="preserve"> </w:t>
      </w:r>
      <w:r>
        <w:t xml:space="preserve">- Convenience-store sales at a limited subset (~95 stations) of the network</w:t>
      </w:r>
      <w:r>
        <w:t xml:space="preserve"> </w:t>
      </w:r>
      <w:r>
        <w:t xml:space="preserve">- Small-scale food-service partnerships (~30 stations)</w:t>
      </w:r>
      <w:r>
        <w:t xml:space="preserve"> </w:t>
      </w:r>
      <w:r>
        <w:t xml:space="preserve">- Car wash and basic vehicle services (~140 stations)</w:t>
      </w:r>
    </w:p>
    <w:p>
      <w:r>
        <w:pict>
          <v:rect style="width:0;height:1.5pt" o:hralign="center" o:hrstd="t" o:hr="t"/>
        </w:pict>
      </w:r>
    </w:p>
    <w:bookmarkEnd w:id="24"/>
    <w:bookmarkStart w:id="25" w:name="competitive-position"/>
    <w:p>
      <w:pPr>
        <w:pStyle w:val="Heading2"/>
      </w:pPr>
      <w:r>
        <w:t xml:space="preserve">Competitive position</w:t>
      </w:r>
    </w:p>
    <w:p>
      <w:pPr>
        <w:pStyle w:val="FirstParagraph"/>
      </w:pPr>
      <w:r>
        <w:t xml:space="preserve">The Sariwon fuel retail market has three major players plus a long tail: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PetroNusa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ArthaFuel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KhatuFuel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Independents /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~580 stations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</w:tr>
    </w:tbl>
    <w:p>
      <w:pPr>
        <w:pStyle w:val="BodyText"/>
      </w:pPr>
      <w:r>
        <w:t xml:space="preserve">ArthaFuel and KhatuFuel have grown share by approximately 4 percentage points combined over the last three years, principally at PetroNusa’s expense. Both have been more aggressive on non-fuel retail (ArthaFuel has launched its own convenience format; KhatuFuel partners with a national convenience chain) and on payments (both offer integrated mobile wallets; PetroNusa does not).</w:t>
      </w:r>
    </w:p>
    <w:p>
      <w:r>
        <w:pict>
          <v:rect style="width:0;height:1.5pt" o:hralign="center" o:hrstd="t" o:hr="t"/>
        </w:pict>
      </w:r>
    </w:p>
    <w:bookmarkEnd w:id="25"/>
    <w:bookmarkStart w:id="26" w:name="key-stakeholders"/>
    <w:p>
      <w:pPr>
        <w:pStyle w:val="Heading2"/>
      </w:pPr>
      <w:r>
        <w:t xml:space="preserve">Key stakeholders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Hendra Wijaya</w:t>
      </w:r>
      <w:r>
        <w:t xml:space="preserve"> </w:t>
      </w:r>
      <w:r>
        <w:t xml:space="preserve">— Chief Financial Officer, primary engagement sponsor. Family-stake background but professional career CFO.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Pak Bambang Sutrisno</w:t>
      </w:r>
      <w:r>
        <w:t xml:space="preserve"> </w:t>
      </w:r>
      <w:r>
        <w:t xml:space="preserve">— Chief Executive Officer. Career PetroNusa Tbk, supportive of transformation but cautious on dealer-side change.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Dato Rashidi Othman — Chairman, nominated by the Sovereign Investment Authority. Strategic-level engagement only.</w:t>
      </w:r>
      <w:r>
        <w:t xml:space="preserve"/>
      </w:r>
      <w:r>
        <w:t xml:space="preserve"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Mei-Ling Tan</w:t>
      </w:r>
      <w:r>
        <w:t xml:space="preserve"> </w:t>
      </w:r>
      <w:r>
        <w:t xml:space="preserve">— Head of Retail Operations. Operational owner of the company-operated estate.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Pak Yusuf Hadi</w:t>
      </w:r>
      <w:r>
        <w:t xml:space="preserve"> </w:t>
      </w:r>
      <w:r>
        <w:t xml:space="preserve">— Head of Dealer Relations. Operational owner of the DODO channel; sensitive to anything affecting dealer commission structures.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 compilation by Aurelian &amp; Co. Southeast Asia practice. Figures are indicative and derived from public filings, analyst reports, and conversations with the Group CFO.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