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0B3C5D"/>
          </w:tcPr>
          <w:p>
            <w:pPr>
              <w:spacing w:before="40" w:after="40"/>
            </w:pPr>
            <w:r>
              <w:rPr>
                <w:rFonts w:ascii="Calibri" w:hAnsi="Calibri"/>
                <w:b/>
                <w:i w:val="0"/>
                <w:color w:val="FFFFFF"/>
                <w:sz w:val="18"/>
              </w:rPr>
              <w:t>AURELIAN &amp; CO.   Objective D — Loyalty Workstream   |   Internal</w:t>
            </w:r>
          </w:p>
        </w:tc>
      </w:tr>
    </w:tbl>
    <w:p/>
    <w:tbl>
      <w:tblPr>
        <w:tblStyle w:val="TableGrid"/>
        <w:tblW w:type="auto" w:w="0"/>
        <w:jc w:val="left"/>
        <w:tblLook w:firstColumn="1" w:firstRow="1" w:lastColumn="0" w:lastRow="0" w:noHBand="0" w:noVBand="1" w:val="04A0"/>
      </w:tblPr>
      <w:tblGrid>
        <w:gridCol w:w="4968"/>
        <w:gridCol w:w="4968"/>
      </w:tblGrid>
      <w:tr>
        <w:tc>
          <w:tcPr>
            <w:tcW w:type="dxa" w:w="1296"/>
            <w:shd w:val="clear" w:fill="F2F5F7"/>
          </w:tcPr>
          <w:p>
            <w:pPr>
              <w:spacing w:after="20" w:before="20"/>
            </w:pPr>
            <w:r>
              <w:rPr>
                <w:rFonts w:ascii="Calibri" w:hAnsi="Calibri"/>
                <w:b w:val="0"/>
                <w:i w:val="0"/>
                <w:color w:val="1A1A1A"/>
                <w:sz w:val="19"/>
              </w:rPr>
              <w:t>From</w:t>
            </w:r>
          </w:p>
        </w:tc>
        <w:tc>
          <w:tcPr>
            <w:tcW w:type="dxa" w:w="8640"/>
            <w:shd w:val="clear" w:fill="F2F5F7"/>
          </w:tcPr>
          <w:p>
            <w:pPr>
              <w:spacing w:after="20" w:before="20"/>
            </w:pPr>
            <w:r>
              <w:rPr>
                <w:rFonts w:ascii="Calibri" w:hAnsi="Calibri"/>
                <w:b w:val="0"/>
                <w:i w:val="0"/>
                <w:color w:val="1A1A1A"/>
                <w:sz w:val="19"/>
              </w:rPr>
              <w:t>Priya Nair &lt;p.nair@aurelian.com&gt;</w:t>
            </w:r>
          </w:p>
        </w:tc>
      </w:tr>
      <w:tr>
        <w:tc>
          <w:tcPr>
            <w:tcW w:type="dxa" w:w="1296"/>
          </w:tcPr>
          <w:p>
            <w:pPr>
              <w:spacing w:after="20" w:before="20"/>
            </w:pPr>
            <w:r>
              <w:rPr>
                <w:rFonts w:ascii="Calibri" w:hAnsi="Calibri"/>
                <w:b w:val="0"/>
                <w:i w:val="0"/>
                <w:color w:val="1A1A1A"/>
                <w:sz w:val="19"/>
              </w:rPr>
              <w:t>To</w:t>
            </w:r>
          </w:p>
        </w:tc>
        <w:tc>
          <w:tcPr>
            <w:tcW w:type="dxa" w:w="8640"/>
          </w:tcPr>
          <w:p>
            <w:pPr>
              <w:spacing w:after="20" w:before="20"/>
            </w:pPr>
            <w:r>
              <w:rPr>
                <w:rFonts w:ascii="Calibri" w:hAnsi="Calibri"/>
                <w:b w:val="0"/>
                <w:i w:val="0"/>
                <w:color w:val="1A1A1A"/>
                <w:sz w:val="19"/>
              </w:rPr>
              <w:t>Citra Widyastuti &lt;c.widyastuti@aurelian.com&gt;</w:t>
            </w:r>
          </w:p>
        </w:tc>
      </w:tr>
      <w:tr>
        <w:tc>
          <w:tcPr>
            <w:tcW w:type="dxa" w:w="1296"/>
            <w:shd w:val="clear" w:fill="F2F5F7"/>
          </w:tcPr>
          <w:p>
            <w:pPr>
              <w:spacing w:after="20" w:before="20"/>
            </w:pPr>
            <w:r>
              <w:rPr>
                <w:rFonts w:ascii="Calibri" w:hAnsi="Calibri"/>
                <w:b w:val="0"/>
                <w:i w:val="0"/>
                <w:color w:val="1A1A1A"/>
                <w:sz w:val="19"/>
              </w:rPr>
              <w:t>Date</w:t>
            </w:r>
          </w:p>
        </w:tc>
        <w:tc>
          <w:tcPr>
            <w:tcW w:type="dxa" w:w="8640"/>
            <w:shd w:val="clear" w:fill="F2F5F7"/>
          </w:tcPr>
          <w:p>
            <w:pPr>
              <w:spacing w:after="20" w:before="20"/>
            </w:pPr>
            <w:r>
              <w:rPr>
                <w:rFonts w:ascii="Calibri" w:hAnsi="Calibri"/>
                <w:b w:val="0"/>
                <w:i w:val="0"/>
                <w:color w:val="1A1A1A"/>
                <w:sz w:val="19"/>
              </w:rPr>
              <w:t>Monday 10 March 2025</w:t>
            </w:r>
          </w:p>
        </w:tc>
      </w:tr>
      <w:tr>
        <w:tc>
          <w:tcPr>
            <w:tcW w:type="dxa" w:w="1296"/>
          </w:tcPr>
          <w:p>
            <w:pPr>
              <w:spacing w:after="20" w:before="20"/>
            </w:pPr>
            <w:r>
              <w:rPr>
                <w:rFonts w:ascii="Calibri" w:hAnsi="Calibri"/>
                <w:b w:val="0"/>
                <w:i w:val="0"/>
                <w:color w:val="1A1A1A"/>
                <w:sz w:val="19"/>
              </w:rPr>
              <w:t>Subject</w:t>
            </w:r>
          </w:p>
        </w:tc>
        <w:tc>
          <w:tcPr>
            <w:tcW w:type="dxa" w:w="8640"/>
          </w:tcPr>
          <w:p>
            <w:pPr>
              <w:spacing w:after="20" w:before="20"/>
            </w:pPr>
            <w:r>
              <w:rPr>
                <w:rFonts w:ascii="Calibri" w:hAnsi="Calibri"/>
                <w:b w:val="0"/>
                <w:i w:val="0"/>
                <w:color w:val="1A1A1A"/>
                <w:sz w:val="19"/>
              </w:rPr>
              <w:t>Loyalty workstream — Phase 1 kickoff</w:t>
            </w:r>
          </w:p>
        </w:tc>
      </w:tr>
    </w:tbl>
    <w:p>
      <w:pPr>
        <w:spacing w:after="40"/>
      </w:pPr>
    </w:p>
    <w:p>
      <w:pPr>
        <w:spacing w:after="100"/>
      </w:pPr>
      <w:r>
        <w:rPr>
          <w:rFonts w:ascii="Calibri" w:hAnsi="Calibri"/>
          <w:b w:val="0"/>
          <w:i w:val="0"/>
          <w:color w:val="1A1A1A"/>
          <w:sz w:val="20"/>
        </w:rPr>
        <w:t>Citra,</w:t>
      </w:r>
    </w:p>
    <w:p>
      <w:pPr>
        <w:spacing w:after="100"/>
      </w:pPr>
      <w:r>
        <w:rPr>
          <w:rFonts w:ascii="Calibri" w:hAnsi="Calibri"/>
          <w:b w:val="0"/>
          <w:i w:val="0"/>
          <w:color w:val="1A1A1A"/>
          <w:sz w:val="20"/>
        </w:rPr>
        <w:t>Quick note to kick off the loyalty side of Objective D now that scope alignment is done.</w:t>
      </w:r>
    </w:p>
    <w:p>
      <w:pPr>
        <w:spacing w:after="100"/>
      </w:pPr>
      <w:r>
        <w:rPr>
          <w:rFonts w:ascii="Calibri" w:hAnsi="Calibri"/>
          <w:b/>
          <w:i w:val="0"/>
          <w:color w:val="1A1A1A"/>
          <w:sz w:val="20"/>
        </w:rPr>
        <w:t>Context.</w:t>
      </w:r>
      <w:r>
        <w:rPr>
          <w:rFonts w:ascii="Calibri" w:hAnsi="Calibri"/>
          <w:b w:val="0"/>
          <w:i w:val="0"/>
          <w:color w:val="1A1A1A"/>
          <w:sz w:val="20"/>
        </w:rPr>
        <w:t xml:space="preserve"> Objective D covers payments infrastructure and the loyalty programme, running as two parallel Phase 1 workstreams. Payments is being handled separately; this is loyalty. Before the current-state assessment can run we need the assessment frame locked — the dimensions, the measurement criteria, the data sources, the output format. That is the first thing I need from you.</w:t>
      </w:r>
    </w:p>
    <w:p>
      <w:pPr>
        <w:spacing w:after="100"/>
      </w:pPr>
      <w:r>
        <w:rPr>
          <w:rFonts w:ascii="Calibri" w:hAnsi="Calibri"/>
          <w:b/>
          <w:i w:val="0"/>
          <w:color w:val="1A1A1A"/>
          <w:sz w:val="20"/>
        </w:rPr>
        <w:t>Sequencing.</w:t>
      </w:r>
      <w:r>
        <w:rPr>
          <w:rFonts w:ascii="Calibri" w:hAnsi="Calibri"/>
          <w:b w:val="0"/>
          <w:i w:val="0"/>
          <w:color w:val="1A1A1A"/>
          <w:sz w:val="20"/>
        </w:rPr>
        <w:t xml:space="preserve"> Frame first, assessment second. The stakeholder interviews and data pulls we are scoping for next month have to be structured around a defined set of dimensions, or we collect against shifting criteria. Once the frame is signed off, the assessment runs against it. Frame only for now — not the assessment.</w:t>
      </w:r>
    </w:p>
    <w:p>
      <w:pPr>
        <w:spacing w:after="100"/>
      </w:pPr>
      <w:r>
        <w:rPr>
          <w:rFonts w:ascii="Calibri" w:hAnsi="Calibri"/>
          <w:b/>
          <w:i w:val="0"/>
          <w:color w:val="1A1A1A"/>
          <w:sz w:val="20"/>
        </w:rPr>
        <w:t>Background.</w:t>
      </w:r>
      <w:r>
        <w:rPr>
          <w:rFonts w:ascii="Calibri" w:hAnsi="Calibri"/>
          <w:b w:val="0"/>
          <w:i w:val="0"/>
          <w:color w:val="1A1A1A"/>
          <w:sz w:val="20"/>
        </w:rPr>
        <w:t xml:space="preserve"> The programme dates from 2016, originally a punch-card-era points-on-litres structure. Coming into the engagement the CFO described it as “neglected for years” — his words, from the pre-engagement conversations. There are files in the project folder with more detail on where it actually stands, including membership and CRM data. Read them before you build the frame.</w:t>
      </w:r>
    </w:p>
    <w:p>
      <w:pPr>
        <w:spacing w:after="100"/>
      </w:pPr>
      <w:r>
        <w:rPr>
          <w:rFonts w:ascii="Calibri" w:hAnsi="Calibri"/>
          <w:b/>
          <w:i w:val="0"/>
          <w:color w:val="1A1A1A"/>
          <w:sz w:val="20"/>
        </w:rPr>
        <w:t>A specific ask.</w:t>
      </w:r>
      <w:r>
        <w:rPr>
          <w:rFonts w:ascii="Calibri" w:hAnsi="Calibri"/>
          <w:b w:val="0"/>
          <w:i w:val="0"/>
          <w:color w:val="1A1A1A"/>
          <w:sz w:val="20"/>
        </w:rPr>
        <w:t xml:space="preserve"> The obvious headline metric here is the activation rate — active members over registered. I want you to think hard about how the frame </w:t>
      </w:r>
      <w:r>
        <w:rPr>
          <w:rFonts w:ascii="Calibri" w:hAnsi="Calibri"/>
          <w:b w:val="0"/>
          <w:i/>
          <w:color w:val="1A1A1A"/>
          <w:sz w:val="20"/>
        </w:rPr>
        <w:t>defines</w:t>
      </w:r>
      <w:r>
        <w:rPr>
          <w:rFonts w:ascii="Calibri" w:hAnsi="Calibri"/>
          <w:b w:val="0"/>
          <w:i w:val="0"/>
          <w:color w:val="1A1A1A"/>
          <w:sz w:val="20"/>
        </w:rPr>
        <w:t xml:space="preserve"> that metric before it gets measured, not after. Once a number like that is in a steering committee pack it stops being questioned, and if the definition is soft we will spend Phase 2 defending it. Same goes for whatever we end up comparing it against. If the comparison you would naturally reach for does not hold up, say so in the frame and put in what does.</w:t>
      </w:r>
    </w:p>
    <w:p>
      <w:pPr>
        <w:spacing w:after="100"/>
      </w:pPr>
      <w:r>
        <w:rPr>
          <w:rFonts w:ascii="Calibri" w:hAnsi="Calibri"/>
          <w:b/>
          <w:i w:val="0"/>
          <w:color w:val="1A1A1A"/>
          <w:sz w:val="20"/>
        </w:rPr>
        <w:t>Integration.</w:t>
      </w:r>
      <w:r>
        <w:rPr>
          <w:rFonts w:ascii="Calibri" w:hAnsi="Calibri"/>
          <w:b w:val="0"/>
          <w:i w:val="0"/>
          <w:color w:val="1A1A1A"/>
          <w:sz w:val="20"/>
        </w:rPr>
        <w:t xml:space="preserve"> Whatever the loyalty assessment finds sits alongside the payments workstream output — both feed Objective D and the client will consider them together. Keep the integration point in scope when you define the frame.</w:t>
      </w:r>
    </w:p>
    <w:p>
      <w:pPr>
        <w:spacing w:after="100"/>
      </w:pPr>
      <w:r>
        <w:rPr>
          <w:rFonts w:ascii="Calibri" w:hAnsi="Calibri"/>
          <w:b/>
          <w:i w:val="0"/>
          <w:color w:val="1A1A1A"/>
          <w:sz w:val="20"/>
        </w:rPr>
        <w:t>Format.</w:t>
      </w:r>
      <w:r>
        <w:rPr>
          <w:rFonts w:ascii="Calibri" w:hAnsi="Calibri"/>
          <w:b w:val="0"/>
          <w:i w:val="0"/>
          <w:color w:val="1A1A1A"/>
          <w:sz w:val="20"/>
        </w:rPr>
        <w:t xml:space="preserve"> Six to eight pages. Frames have a habit of turning into forty-page methodology manuals nobody reads; I want something the team can actually work from and I can put in front of the partner. Draft to me by end of next week.</w:t>
      </w:r>
    </w:p>
    <w:p>
      <w:pPr>
        <w:spacing w:after="100"/>
      </w:pPr>
      <w:r>
        <w:rPr>
          <w:rFonts w:ascii="Calibri" w:hAnsi="Calibri"/>
          <w:b w:val="0"/>
          <w:i w:val="0"/>
          <w:color w:val="1A1A1A"/>
          <w:sz w:val="20"/>
        </w:rPr>
        <w:t>Priya</w:t>
      </w:r>
    </w:p>
    <w:p>
      <w:pPr>
        <w:spacing w:before="200"/>
      </w:pPr>
      <w:r>
        <w:rPr>
          <w:i/>
          <w:color w:val="666666"/>
          <w:sz w:val="15"/>
        </w:rPr>
        <w:t>Priya Nair  |  Engagement Manager, Aurelian &amp; Co.  |  M: +65-9100-2215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