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9936"/>
      </w:tblGrid>
      <w:tr>
        <w:tc>
          <w:tcPr>
            <w:tcW w:type="dxa" w:w="9936"/>
            <w:shd w:val="clear" w:fill="0B3C5D"/>
          </w:tcPr>
          <w:p>
            <w:pPr>
              <w:spacing w:before="40" w:after="40"/>
            </w:pPr>
            <w:r>
              <w:rPr>
                <w:rFonts w:ascii="Calibri" w:hAnsi="Calibri"/>
                <w:b/>
                <w:i w:val="0"/>
                <w:color w:val="FFFFFF"/>
                <w:sz w:val="18"/>
              </w:rPr>
              <w:t>AURELIAN &amp; CO.  —   REGIONAL RESEARCH   |   INTERNAL</w:t>
            </w:r>
          </w:p>
        </w:tc>
      </w:tr>
    </w:tbl>
    <w:p/>
    <w:p>
      <w:pPr>
        <w:spacing w:after="40"/>
      </w:pPr>
      <w:r>
        <w:rPr>
          <w:rFonts w:ascii="Calibri" w:hAnsi="Calibri"/>
          <w:b/>
          <w:i w:val="0"/>
          <w:color w:val="0B3C5D"/>
          <w:sz w:val="30"/>
        </w:rPr>
        <w:t>Regional Peer A: the wallet stack in a neighbouring market</w:t>
      </w:r>
    </w:p>
    <w:p>
      <w:pPr>
        <w:spacing w:after="160"/>
      </w:pPr>
      <w:r>
        <w:rPr>
          <w:rFonts w:ascii="Calibri" w:hAnsi="Calibri"/>
          <w:b w:val="0"/>
          <w:i w:val="0"/>
          <w:color w:val="666666"/>
          <w:sz w:val="18"/>
        </w:rPr>
        <w:t>Sequence of integrations, 2021-2024  |  Compiled by the Kertapura office for the PetroNusa Objective D team  |  March 2025</w:t>
      </w:r>
    </w:p>
    <w:p>
      <w:pPr>
        <w:spacing w:after="100"/>
      </w:pPr>
      <w:r>
        <w:rPr>
          <w:rFonts w:ascii="Calibri" w:hAnsi="Calibri"/>
          <w:b w:val="0"/>
          <w:i w:val="0"/>
          <w:color w:val="1A1A1A"/>
          <w:sz w:val="20"/>
        </w:rPr>
        <w:t>Requested background on how the three-party structure around Regional Peer A's wallet came together. Peer, rail and partner names are withheld under our source agreement and carried here as labels. Factual sequence only; no assessment.</w:t>
      </w:r>
    </w:p>
    <w:p>
      <w:pPr>
        <w:spacing w:before="180" w:after="60"/>
      </w:pPr>
      <w:r>
        <w:rPr>
          <w:rFonts w:ascii="Calibri" w:hAnsi="Calibri"/>
          <w:b/>
          <w:i w:val="0"/>
          <w:color w:val="0B3C5D"/>
          <w:sz w:val="22"/>
        </w:rPr>
        <w:t>Sequence</w:t>
      </w:r>
    </w:p>
    <w:tbl>
      <w:tblPr>
        <w:tblStyle w:val="TableGrid"/>
        <w:tblW w:type="auto" w:w="0"/>
        <w:jc w:val="left"/>
        <w:tblLook w:firstColumn="1" w:firstRow="1" w:lastColumn="0" w:lastRow="0" w:noHBand="0" w:noVBand="1" w:val="04A0"/>
      </w:tblPr>
      <w:tblGrid>
        <w:gridCol w:w="4968"/>
        <w:gridCol w:w="4968"/>
      </w:tblGrid>
      <w:tr>
        <w:tc>
          <w:tcPr>
            <w:tcW w:type="dxa" w:w="1368"/>
            <w:shd w:val="clear" w:fill="0B3C5D"/>
          </w:tcPr>
          <w:p>
            <w:pPr>
              <w:spacing w:after="20" w:before="20"/>
            </w:pPr>
            <w:r>
              <w:rPr>
                <w:rFonts w:ascii="Calibri" w:hAnsi="Calibri"/>
                <w:b/>
                <w:i w:val="0"/>
                <w:color w:val="FFFFFF"/>
                <w:sz w:val="18"/>
              </w:rPr>
              <w:t>Date</w:t>
            </w:r>
          </w:p>
        </w:tc>
        <w:tc>
          <w:tcPr>
            <w:tcW w:type="dxa" w:w="8640"/>
            <w:shd w:val="clear" w:fill="0B3C5D"/>
          </w:tcPr>
          <w:p>
            <w:pPr>
              <w:spacing w:after="20" w:before="20"/>
            </w:pPr>
            <w:r>
              <w:rPr>
                <w:rFonts w:ascii="Calibri" w:hAnsi="Calibri"/>
                <w:b/>
                <w:i w:val="0"/>
                <w:color w:val="FFFFFF"/>
                <w:sz w:val="18"/>
              </w:rPr>
              <w:t>Event</w:t>
            </w:r>
          </w:p>
        </w:tc>
      </w:tr>
      <w:tr>
        <w:tc>
          <w:tcPr>
            <w:tcW w:type="dxa" w:w="1368"/>
          </w:tcPr>
          <w:p>
            <w:pPr>
              <w:spacing w:after="20" w:before="20"/>
            </w:pPr>
            <w:r>
              <w:rPr>
                <w:rFonts w:ascii="Calibri" w:hAnsi="Calibri"/>
                <w:b w:val="0"/>
                <w:i w:val="0"/>
                <w:color w:val="1A1A1A"/>
                <w:sz w:val="18"/>
              </w:rPr>
              <w:t>Aug 2021</w:t>
            </w:r>
          </w:p>
        </w:tc>
        <w:tc>
          <w:tcPr>
            <w:tcW w:type="dxa" w:w="8640"/>
          </w:tcPr>
          <w:p>
            <w:pPr>
              <w:spacing w:after="20" w:before="20"/>
            </w:pPr>
            <w:r>
              <w:rPr>
                <w:rFonts w:ascii="Calibri" w:hAnsi="Calibri"/>
                <w:b w:val="0"/>
                <w:i w:val="0"/>
                <w:color w:val="1A1A1A"/>
                <w:sz w:val="18"/>
              </w:rPr>
              <w:t>Peer A Wallet launched as an app operated by Regional Peer A, the national fuel retailer in a neighbouring market. Fuel payment for non-subsidised grades only. Single operator; no third-party payment rail, no convenience partner.</w:t>
            </w:r>
          </w:p>
        </w:tc>
      </w:tr>
      <w:tr>
        <w:tc>
          <w:tcPr>
            <w:tcW w:type="dxa" w:w="1368"/>
            <w:shd w:val="clear" w:fill="F2F5F7"/>
          </w:tcPr>
          <w:p>
            <w:pPr>
              <w:spacing w:after="20" w:before="20"/>
            </w:pPr>
            <w:r>
              <w:rPr>
                <w:rFonts w:ascii="Calibri" w:hAnsi="Calibri"/>
                <w:b w:val="0"/>
                <w:i w:val="0"/>
                <w:color w:val="1A1A1A"/>
                <w:sz w:val="18"/>
              </w:rPr>
              <w:t>Jul 2023</w:t>
            </w:r>
          </w:p>
        </w:tc>
        <w:tc>
          <w:tcPr>
            <w:tcW w:type="dxa" w:w="8640"/>
            <w:shd w:val="clear" w:fill="F2F5F7"/>
          </w:tcPr>
          <w:p>
            <w:pPr>
              <w:spacing w:after="20" w:before="20"/>
            </w:pPr>
            <w:r>
              <w:rPr>
                <w:rFonts w:ascii="Calibri" w:hAnsi="Calibri"/>
                <w:b w:val="0"/>
                <w:i w:val="0"/>
                <w:color w:val="1A1A1A"/>
                <w:sz w:val="18"/>
              </w:rPr>
              <w:t>The market's downstream fuel regulator ruled that purchasers of subsidised grades must pre-register the vehicle and the holder's national identity credential. Entitlement is verified at the pump before the transaction is authorised. Registration through the wallet is the only route offered at scale.</w:t>
            </w:r>
          </w:p>
        </w:tc>
      </w:tr>
      <w:tr>
        <w:tc>
          <w:tcPr>
            <w:tcW w:type="dxa" w:w="1368"/>
          </w:tcPr>
          <w:p>
            <w:pPr>
              <w:spacing w:after="20" w:before="20"/>
            </w:pPr>
            <w:r>
              <w:rPr>
                <w:rFonts w:ascii="Calibri" w:hAnsi="Calibri"/>
                <w:b w:val="0"/>
                <w:i w:val="0"/>
                <w:color w:val="1A1A1A"/>
                <w:sz w:val="18"/>
              </w:rPr>
              <w:t>Sep 2023</w:t>
            </w:r>
          </w:p>
        </w:tc>
        <w:tc>
          <w:tcPr>
            <w:tcW w:type="dxa" w:w="8640"/>
          </w:tcPr>
          <w:p>
            <w:pPr>
              <w:spacing w:after="20" w:before="20"/>
            </w:pPr>
            <w:r>
              <w:rPr>
                <w:rFonts w:ascii="Calibri" w:hAnsi="Calibri"/>
                <w:b w:val="0"/>
                <w:i w:val="0"/>
                <w:color w:val="1A1A1A"/>
                <w:sz w:val="18"/>
              </w:rPr>
              <w:t>A state-linked payment rail was integrated as the verification and settlement layer for subsidised-grade transactions. Regional Peer A holds an indirect interest in the rail through a state-owned consortium.</w:t>
            </w:r>
          </w:p>
        </w:tc>
      </w:tr>
      <w:tr>
        <w:tc>
          <w:tcPr>
            <w:tcW w:type="dxa" w:w="1368"/>
            <w:shd w:val="clear" w:fill="F2F5F7"/>
          </w:tcPr>
          <w:p>
            <w:pPr>
              <w:spacing w:after="20" w:before="20"/>
            </w:pPr>
            <w:r>
              <w:rPr>
                <w:rFonts w:ascii="Calibri" w:hAnsi="Calibri"/>
                <w:b w:val="0"/>
                <w:i w:val="0"/>
                <w:color w:val="1A1A1A"/>
                <w:sz w:val="18"/>
              </w:rPr>
              <w:t>Mar 2024</w:t>
            </w:r>
          </w:p>
        </w:tc>
        <w:tc>
          <w:tcPr>
            <w:tcW w:type="dxa" w:w="8640"/>
            <w:shd w:val="clear" w:fill="F2F5F7"/>
          </w:tcPr>
          <w:p>
            <w:pPr>
              <w:spacing w:after="20" w:before="20"/>
            </w:pPr>
            <w:r>
              <w:rPr>
                <w:rFonts w:ascii="Calibri" w:hAnsi="Calibri"/>
                <w:b w:val="0"/>
                <w:i w:val="0"/>
                <w:color w:val="1A1A1A"/>
                <w:sz w:val="18"/>
              </w:rPr>
              <w:t>A national convenience chain was onboarded for in-store payment and points redemption.</w:t>
            </w:r>
          </w:p>
        </w:tc>
      </w:tr>
    </w:tbl>
    <w:p>
      <w:pPr>
        <w:spacing w:after="40"/>
      </w:pPr>
    </w:p>
    <w:p>
      <w:pPr>
        <w:spacing w:before="180" w:after="60"/>
      </w:pPr>
      <w:r>
        <w:rPr>
          <w:rFonts w:ascii="Calibri" w:hAnsi="Calibri"/>
          <w:b/>
          <w:i w:val="0"/>
          <w:color w:val="0B3C5D"/>
          <w:sz w:val="22"/>
        </w:rPr>
        <w:t>How the two transaction paths differ</w:t>
      </w:r>
    </w:p>
    <w:tbl>
      <w:tblPr>
        <w:tblStyle w:val="TableGrid"/>
        <w:tblW w:type="auto" w:w="0"/>
        <w:jc w:val="left"/>
        <w:tblLook w:firstColumn="1" w:firstRow="1" w:lastColumn="0" w:lastRow="0" w:noHBand="0" w:noVBand="1" w:val="04A0"/>
      </w:tblPr>
      <w:tblGrid>
        <w:gridCol w:w="3312"/>
        <w:gridCol w:w="3312"/>
        <w:gridCol w:w="3312"/>
      </w:tblGrid>
      <w:tr>
        <w:tc>
          <w:tcPr>
            <w:tcW w:type="dxa" w:w="2736"/>
            <w:shd w:val="clear" w:fill="0B3C5D"/>
          </w:tcPr>
          <w:p>
            <w:pPr>
              <w:spacing w:after="20" w:before="20"/>
            </w:pPr>
            <w:r/>
          </w:p>
        </w:tc>
        <w:tc>
          <w:tcPr>
            <w:tcW w:type="dxa" w:w="3744"/>
            <w:shd w:val="clear" w:fill="0B3C5D"/>
          </w:tcPr>
          <w:p>
            <w:pPr>
              <w:spacing w:after="20" w:before="20"/>
            </w:pPr>
            <w:r>
              <w:rPr>
                <w:rFonts w:ascii="Calibri" w:hAnsi="Calibri"/>
                <w:b/>
                <w:i w:val="0"/>
                <w:color w:val="FFFFFF"/>
                <w:sz w:val="17"/>
              </w:rPr>
              <w:t>Subsidised grades</w:t>
            </w:r>
          </w:p>
        </w:tc>
        <w:tc>
          <w:tcPr>
            <w:tcW w:type="dxa" w:w="3456"/>
            <w:shd w:val="clear" w:fill="0B3C5D"/>
          </w:tcPr>
          <w:p>
            <w:pPr>
              <w:spacing w:after="20" w:before="20"/>
            </w:pPr>
            <w:r>
              <w:rPr>
                <w:rFonts w:ascii="Calibri" w:hAnsi="Calibri"/>
                <w:b/>
                <w:i w:val="0"/>
                <w:color w:val="FFFFFF"/>
                <w:sz w:val="17"/>
              </w:rPr>
              <w:t>Non-subsidised grades</w:t>
            </w:r>
          </w:p>
        </w:tc>
      </w:tr>
      <w:tr>
        <w:tc>
          <w:tcPr>
            <w:tcW w:type="dxa" w:w="2736"/>
          </w:tcPr>
          <w:p>
            <w:pPr>
              <w:spacing w:after="20" w:before="20"/>
            </w:pPr>
            <w:r>
              <w:rPr>
                <w:rFonts w:ascii="Calibri" w:hAnsi="Calibri"/>
                <w:b w:val="0"/>
                <w:i w:val="0"/>
                <w:color w:val="1A1A1A"/>
                <w:sz w:val="17"/>
              </w:rPr>
              <w:t>Entitlement check at pump</w:t>
            </w:r>
          </w:p>
        </w:tc>
        <w:tc>
          <w:tcPr>
            <w:tcW w:type="dxa" w:w="3744"/>
          </w:tcPr>
          <w:p>
            <w:pPr>
              <w:spacing w:after="20" w:before="20"/>
            </w:pPr>
            <w:r>
              <w:rPr>
                <w:rFonts w:ascii="Calibri" w:hAnsi="Calibri"/>
                <w:b w:val="0"/>
                <w:i w:val="0"/>
                <w:color w:val="1A1A1A"/>
                <w:sz w:val="17"/>
              </w:rPr>
              <w:t>Required; national identity credential and registered vehicle matched against the regulator's registry before authorisation</w:t>
            </w:r>
          </w:p>
        </w:tc>
        <w:tc>
          <w:tcPr>
            <w:tcW w:type="dxa" w:w="3456"/>
          </w:tcPr>
          <w:p>
            <w:pPr>
              <w:spacing w:after="20" w:before="20"/>
            </w:pPr>
            <w:r>
              <w:rPr>
                <w:rFonts w:ascii="Calibri" w:hAnsi="Calibri"/>
                <w:b w:val="0"/>
                <w:i w:val="0"/>
                <w:color w:val="1A1A1A"/>
                <w:sz w:val="17"/>
              </w:rPr>
              <w:t>Not required</w:t>
            </w:r>
          </w:p>
        </w:tc>
      </w:tr>
      <w:tr>
        <w:tc>
          <w:tcPr>
            <w:tcW w:type="dxa" w:w="2736"/>
            <w:shd w:val="clear" w:fill="F2F5F7"/>
          </w:tcPr>
          <w:p>
            <w:pPr>
              <w:spacing w:after="20" w:before="20"/>
            </w:pPr>
            <w:r>
              <w:rPr>
                <w:rFonts w:ascii="Calibri" w:hAnsi="Calibri"/>
                <w:b w:val="0"/>
                <w:i w:val="0"/>
                <w:color w:val="1A1A1A"/>
                <w:sz w:val="17"/>
              </w:rPr>
              <w:t>Parties in the transaction</w:t>
            </w:r>
          </w:p>
        </w:tc>
        <w:tc>
          <w:tcPr>
            <w:tcW w:type="dxa" w:w="3744"/>
            <w:shd w:val="clear" w:fill="F2F5F7"/>
          </w:tcPr>
          <w:p>
            <w:pPr>
              <w:spacing w:after="20" w:before="20"/>
            </w:pPr>
            <w:r>
              <w:rPr>
                <w:rFonts w:ascii="Calibri" w:hAnsi="Calibri"/>
                <w:b w:val="0"/>
                <w:i w:val="0"/>
                <w:color w:val="1A1A1A"/>
                <w:sz w:val="17"/>
              </w:rPr>
              <w:t>Regional Peer A, the state-linked rail (verification and settlement), the regulator's entitlement registry</w:t>
            </w:r>
          </w:p>
        </w:tc>
        <w:tc>
          <w:tcPr>
            <w:tcW w:type="dxa" w:w="3456"/>
            <w:shd w:val="clear" w:fill="F2F5F7"/>
          </w:tcPr>
          <w:p>
            <w:pPr>
              <w:spacing w:after="20" w:before="20"/>
            </w:pPr>
            <w:r>
              <w:rPr>
                <w:rFonts w:ascii="Calibri" w:hAnsi="Calibri"/>
                <w:b w:val="0"/>
                <w:i w:val="0"/>
                <w:color w:val="1A1A1A"/>
                <w:sz w:val="17"/>
              </w:rPr>
              <w:t>Regional Peer A only</w:t>
            </w:r>
          </w:p>
        </w:tc>
      </w:tr>
      <w:tr>
        <w:tc>
          <w:tcPr>
            <w:tcW w:type="dxa" w:w="2736"/>
          </w:tcPr>
          <w:p>
            <w:pPr>
              <w:spacing w:after="20" w:before="20"/>
            </w:pPr>
            <w:r>
              <w:rPr>
                <w:rFonts w:ascii="Calibri" w:hAnsi="Calibri"/>
                <w:b w:val="0"/>
                <w:i w:val="0"/>
                <w:color w:val="1A1A1A"/>
                <w:sz w:val="17"/>
              </w:rPr>
              <w:t>Share of Regional Peer A retail fuel volume</w:t>
            </w:r>
          </w:p>
        </w:tc>
        <w:tc>
          <w:tcPr>
            <w:tcW w:type="dxa" w:w="3744"/>
          </w:tcPr>
          <w:p>
            <w:pPr>
              <w:spacing w:after="20" w:before="20"/>
            </w:pPr>
            <w:r>
              <w:rPr>
                <w:rFonts w:ascii="Calibri" w:hAnsi="Calibri"/>
                <w:b w:val="0"/>
                <w:i w:val="0"/>
                <w:color w:val="1A1A1A"/>
                <w:sz w:val="17"/>
              </w:rPr>
              <w:t>~78%</w:t>
            </w:r>
          </w:p>
        </w:tc>
        <w:tc>
          <w:tcPr>
            <w:tcW w:type="dxa" w:w="3456"/>
          </w:tcPr>
          <w:p>
            <w:pPr>
              <w:spacing w:after="20" w:before="20"/>
            </w:pPr>
            <w:r>
              <w:rPr>
                <w:rFonts w:ascii="Calibri" w:hAnsi="Calibri"/>
                <w:b w:val="0"/>
                <w:i w:val="0"/>
                <w:color w:val="1A1A1A"/>
                <w:sz w:val="17"/>
              </w:rPr>
              <w:t>~22%</w:t>
            </w:r>
          </w:p>
        </w:tc>
      </w:tr>
    </w:tbl>
    <w:p>
      <w:pPr>
        <w:spacing w:after="40"/>
      </w:pPr>
    </w:p>
    <w:p>
      <w:pPr>
        <w:spacing w:before="180" w:after="60"/>
      </w:pPr>
      <w:r>
        <w:rPr>
          <w:rFonts w:ascii="Calibri" w:hAnsi="Calibri"/>
          <w:b/>
          <w:i w:val="0"/>
          <w:color w:val="0B3C5D"/>
          <w:sz w:val="22"/>
        </w:rPr>
        <w:t>Other observations</w:t>
      </w:r>
    </w:p>
    <w:p>
      <w:pPr>
        <w:pStyle w:val="ListBullet"/>
        <w:spacing w:after="40"/>
      </w:pPr>
      <w:r>
        <w:rPr>
          <w:rFonts w:ascii="Calibri" w:hAnsi="Calibri"/>
          <w:b w:val="0"/>
          <w:i w:val="0"/>
          <w:color w:val="1A1A1A"/>
          <w:sz w:val="18"/>
        </w:rPr>
        <w:t>The convenience partner operates approximately 21,000 stores across that market. The convenience leg runs on the same app but settles on a separate path from fuel.</w:t>
      </w:r>
    </w:p>
    <w:p>
      <w:pPr>
        <w:pStyle w:val="ListBullet"/>
        <w:spacing w:after="40"/>
      </w:pPr>
      <w:r>
        <w:rPr>
          <w:rFonts w:ascii="Calibri" w:hAnsi="Calibri"/>
          <w:b w:val="0"/>
          <w:i w:val="0"/>
          <w:color w:val="1A1A1A"/>
          <w:sz w:val="18"/>
        </w:rPr>
        <w:t>Regional Peer A does not publish wallet-level economics. Public disclosure is at group retail level only, so cost per registered user, active rate and redemption behaviour are not observable from outside.</w:t>
      </w:r>
    </w:p>
    <w:p>
      <w:pPr>
        <w:spacing w:before="180" w:after="60"/>
      </w:pPr>
      <w:r>
        <w:rPr>
          <w:rFonts w:ascii="Calibri" w:hAnsi="Calibri"/>
          <w:b/>
          <w:i w:val="0"/>
          <w:color w:val="0B3C5D"/>
          <w:sz w:val="22"/>
        </w:rPr>
        <w:t>Wallet fragmentation in that market</w:t>
      </w:r>
    </w:p>
    <w:p>
      <w:pPr>
        <w:spacing w:after="40"/>
      </w:pPr>
      <w:r>
        <w:rPr>
          <w:rFonts w:ascii="Calibri" w:hAnsi="Calibri"/>
          <w:b w:val="0"/>
          <w:i w:val="0"/>
          <w:color w:val="1A1A1A"/>
          <w:sz w:val="18"/>
        </w:rPr>
        <w:t>The market carries several competing consumer wallets - bank-issued, platform-issued and telco-issued - with no dominant single rail, and the state-linked rail's share of consumer wallet volume sits in the low single digits. Peer A Wallet is therefore not the market's payment instrument of choice. Its registered base was assembled almost entirely inside the subsidy-eligibility mandate, where registration is a condition of purchase rather than a customer decision: the registration curve steps at the July 2023 ruling and is flat either side of it. Public disclosure over the same period records no material change to the wallet's earn or redemption mechanics and no consumer acquisition campaign of any scale. The reasonable reading of the sequence is that the mandate, not the loyalty proposition, produced the base. Any read-across from Peer A Wallet's headline registration numbers to the attractiveness of its rewards should account for that.</w:t>
      </w:r>
    </w:p>
    <w:p>
      <w:pPr>
        <w:spacing w:before="200"/>
      </w:pPr>
      <w:r>
        <w:rPr>
          <w:i/>
          <w:color w:val="666666"/>
          <w:sz w:val="15"/>
        </w:rPr>
        <w:t>Aurelian &amp; Co., Kertapura office. Compiled from the downstream regulator's public releases, Regional Peer A and convenience-partner disclosures, and regional trade press. Counterparty identifiers on file with the regional research desk. Internal use.</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