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left"/>
      </w:pPr>
      <w:r>
        <w:rPr>
          <w:b/>
          <w:color w:val="1A3557"/>
          <w:sz w:val="30"/>
        </w:rPr>
        <w:t>Design Priorities for PetroNusa Unified Wallet</w:t>
      </w:r>
    </w:p>
    <w:p>
      <w:pPr>
        <w:spacing w:before="0" w:after="40"/>
      </w:pPr>
      <w:r>
        <w:rPr>
          <w:i/>
          <w:color w:val="555555"/>
          <w:sz w:val="19"/>
        </w:rPr>
        <w:t>Note from Mei-Ling Tan, Head of Retail Operations  |  Week 5 draft</w:t>
      </w:r>
    </w:p>
    <w:p>
      <w:pPr>
        <w:spacing w:after="40"/>
      </w:pPr>
      <w:r>
        <w:rPr>
          <w:b/>
          <w:color w:val="E8872A"/>
          <w:sz w:val="17"/>
        </w:rPr>
        <w:t>Internal working note  |  Not for external distribution  |  DRAFT</w:t>
      </w:r>
    </w:p>
    <w:p>
      <w:pPr>
        <w:spacing w:before="40" w:after="40"/>
        <w:pBdr>
          <w:bottom w:val="single" w:sz="4" w:space="1" w:color="E8872A"/>
        </w:pBdr>
      </w:pPr>
    </w:p>
    <w:p/>
    <w:p>
      <w:pPr>
        <w:pStyle w:val="Heading1"/>
      </w:pPr>
      <w:r>
        <w:rPr>
          <w:b/>
          <w:color w:val="1A3557"/>
          <w:sz w:val="26"/>
        </w:rPr>
        <w:t>1.  Priority Framing</w:t>
      </w:r>
    </w:p>
    <w:p>
      <w:pPr>
        <w:spacing w:after="80"/>
      </w:pPr>
      <w:r>
        <w:rPr>
          <w:b w:val="0"/>
          <w:i w:val="0"/>
          <w:color w:val="000000"/>
          <w:sz w:val="20"/>
        </w:rPr>
        <w:t>This is my working list before the P40 kick-off. Not polished - just want the team to have a clear sense of where I stand before we spend three weeks going back and forth on feature lists.</w:t>
      </w:r>
    </w:p>
    <w:p>
      <w:pPr>
        <w:spacing w:after="80"/>
      </w:pPr>
      <w:r>
        <w:rPr>
          <w:b/>
          <w:i w:val="0"/>
          <w:color w:val="1A3557"/>
          <w:sz w:val="21"/>
        </w:rPr>
        <w:t>Top priority: FRICTION REDUCTION.</w:t>
      </w:r>
    </w:p>
    <w:p>
      <w:pPr>
        <w:pStyle w:val="ListBullet"/>
        <w:spacing w:after="60"/>
      </w:pPr>
      <w:r>
        <w:rPr>
          <w:sz w:val="20"/>
        </w:rPr>
        <w:t>Customers at the pump - especially 2-wheeler riders - have maybe 2-3 minutes. Max. Every extra tap is adoption we lose. Fast-pay has to be the anchor feature, not a nice-to-have.</w:t>
      </w:r>
    </w:p>
    <w:p>
      <w:pPr>
        <w:pStyle w:val="ListBullet"/>
        <w:spacing w:after="60"/>
      </w:pPr>
      <w:r>
        <w:rPr>
          <w:sz w:val="20"/>
        </w:rPr>
        <w:t>I've watched the pilot data from the Cempaka Raya corridor. The drop-off at step 3 of the current app flow is &gt;40%. That's not a comms problem, that's a UX problem. Fix the flow first.</w:t>
      </w:r>
    </w:p>
    <w:p>
      <w:pPr>
        <w:pStyle w:val="ListBullet"/>
        <w:spacing w:after="60"/>
      </w:pPr>
      <w:r>
        <w:rPr>
          <w:sz w:val="20"/>
        </w:rPr>
        <w:t>Stored value top-up needs to work offline or near-offline. Network coverage at some COCO sites is patchy - don't build something that fails when 4G drops.</w:t>
      </w:r>
    </w:p>
    <w:p>
      <w:pPr>
        <w:spacing w:after="80"/>
      </w:pPr>
      <w:r>
        <w:rPr>
          <w:b/>
          <w:i w:val="0"/>
          <w:sz w:val="21"/>
        </w:rPr>
        <w:t>On loyalty mechanics:</w:t>
      </w:r>
    </w:p>
    <w:p>
      <w:pPr>
        <w:pStyle w:val="ListBullet"/>
        <w:spacing w:after="60"/>
      </w:pPr>
      <w:r>
        <w:rPr>
          <w:sz w:val="20"/>
        </w:rPr>
        <w:t>The wallet should reward fuel-visit behaviour specifically. Points for coffee at a partner convenience chain doesn't keep anyone coming to a PetroNusa station.</w:t>
      </w:r>
    </w:p>
    <w:p>
      <w:pPr>
        <w:pStyle w:val="ListBullet"/>
        <w:spacing w:after="60"/>
      </w:pPr>
      <w:r>
        <w:rPr>
          <w:sz w:val="20"/>
        </w:rPr>
        <w:t>I know the digital team will want to open this up to partners eventually. Fine - but that's Phase 2. Phase 1 needs to be about cementing the fuel relationship.</w:t>
      </w:r>
    </w:p>
    <w:p>
      <w:pPr>
        <w:spacing w:after="80"/>
      </w:pPr>
      <w:r>
        <w:rPr>
          <w:b/>
          <w:i w:val="0"/>
          <w:sz w:val="21"/>
        </w:rPr>
        <w:t>On non-fuel:</w:t>
      </w:r>
    </w:p>
    <w:p>
      <w:pPr>
        <w:pStyle w:val="ListBullet"/>
        <w:spacing w:after="60"/>
      </w:pPr>
      <w:r>
        <w:rPr>
          <w:sz w:val="20"/>
        </w:rPr>
        <w:t>Non-fuel has to be first-class in the design - not bolted on as an afterthought. I've been pushing this for two years. Our peer set is at 6-8% non-fuel revenue mix; we're sitting at ~3%. The wallet is the single best lever we have.</w:t>
      </w:r>
    </w:p>
    <w:p>
      <w:pPr>
        <w:pStyle w:val="ListBullet"/>
        <w:spacing w:after="60"/>
      </w:pPr>
      <w:r>
        <w:rPr>
          <w:sz w:val="20"/>
        </w:rPr>
        <w:t>Convenience store attachment at the pump (scan-and-pay, pre-order) is the mechanism. If we can cut the friction between 'fill up' and 'grab a drink', basket sizes will follow.</w:t>
      </w:r>
    </w:p>
    <w:p>
      <w:pPr>
        <w:pStyle w:val="ListBullet"/>
        <w:spacing w:after="60"/>
        <w:ind w:left="648"/>
      </w:pPr>
      <w:r>
        <w:rPr>
          <w:sz w:val="20"/>
        </w:rPr>
        <w:t>[Pending review by retail ops team - check with Suharti on C-store SKU readiness]</w:t>
      </w:r>
    </w:p>
    <w:p/>
    <w:p>
      <w:pPr>
        <w:pStyle w:val="Heading1"/>
      </w:pPr>
      <w:r>
        <w:rPr>
          <w:b/>
          <w:color w:val="1A3557"/>
          <w:sz w:val="26"/>
        </w:rPr>
        <w:t>2.  Rough M12 Expectations</w:t>
      </w:r>
    </w:p>
    <w:p>
      <w:pPr>
        <w:spacing w:after="80"/>
      </w:pPr>
      <w:r>
        <w:rPr>
          <w:b w:val="0"/>
          <w:i/>
          <w:color w:val="555555"/>
          <w:sz w:val="19"/>
        </w:rPr>
        <w:t>Flagging upfront: these are MY rough numbers, not the model. The team should run the proper adoption model - I'm just giving a sense check from my experience running the loyalty programme.</w:t>
      </w:r>
    </w:p>
    <w:p>
      <w:pPr>
        <w:pStyle w:val="ListBullet"/>
        <w:spacing w:after="60"/>
      </w:pPr>
      <w:r>
        <w:rPr>
          <w:sz w:val="20"/>
        </w:rPr>
        <w:t>My gut feel is maybe 50,000 wallets by M12. I know that sounds conservative but we haven't really done digital loyalty at scale before and I don't want to overpromise to the Board. Happy to be proven wrong by the model.</w:t>
      </w:r>
    </w:p>
    <w:p>
      <w:pPr>
        <w:pStyle w:val="ListBullet"/>
        <w:spacing w:after="60"/>
      </w:pPr>
      <w:r>
        <w:rPr>
          <w:sz w:val="20"/>
        </w:rPr>
        <w:t>That 50k figure assumes a cautious rollout - maybe 80-100 COCO sites in Nusakerta Barat and Kertapura. If we get Nusakerta Barat AND Talunagara Tengah COCO sites live by M6, the numbers should be higher.</w:t>
      </w:r>
    </w:p>
    <w:p>
      <w:pPr>
        <w:pStyle w:val="ListBullet"/>
        <w:spacing w:after="60"/>
      </w:pPr>
      <w:r>
        <w:rPr>
          <w:sz w:val="20"/>
        </w:rPr>
        <w:t>Again - please use the transaction profile data to model this properly. My number above is informal and I've told Marcus the same. Don't anchor the Board on my gut feel.</w:t>
      </w:r>
    </w:p>
    <w:p>
      <w:pPr>
        <w:spacing w:after="80"/>
      </w:pPr>
      <w:r>
        <w:rPr>
          <w:b w:val="0"/>
          <w:i/>
          <w:color w:val="555555"/>
          <w:sz w:val="19"/>
        </w:rPr>
        <w:t>TBC: will the M12 target be split into 'registered' vs 'active' users? Important distinction for how we report to the Board. Suggest the team agree a definition before the SteerCo deck.</w:t>
      </w:r>
    </w:p>
    <w:p/>
    <w:p>
      <w:pPr>
        <w:pStyle w:val="Heading1"/>
      </w:pPr>
      <w:r>
        <w:rPr>
          <w:b/>
          <w:color w:val="1A3557"/>
          <w:sz w:val="26"/>
        </w:rPr>
        <w:t>3.  DODO - Keep It Off the Critical Path</w:t>
      </w:r>
    </w:p>
    <w:p>
      <w:pPr>
        <w:pStyle w:val="ListBullet"/>
        <w:spacing w:after="60"/>
      </w:pPr>
      <w:r>
        <w:rPr>
          <w:sz w:val="20"/>
        </w:rPr>
        <w:t>DODO is a separate headache. Don't block the COCO launch waiting for DODO to catch up.</w:t>
      </w:r>
    </w:p>
    <w:p>
      <w:pPr>
        <w:pStyle w:val="ListBullet"/>
        <w:spacing w:after="60"/>
      </w:pPr>
      <w:r>
        <w:rPr>
          <w:sz w:val="20"/>
        </w:rPr>
        <w:t>The P10 readiness findings were pretty clear - DODO sites have a significant infrastructure gap vs COCO. POS integration, network, hardware - all behind. Pak Yusuf knows this.</w:t>
      </w:r>
    </w:p>
    <w:p>
      <w:pPr>
        <w:pStyle w:val="ListBullet"/>
        <w:spacing w:after="60"/>
      </w:pPr>
      <w:r>
        <w:rPr>
          <w:sz w:val="20"/>
        </w:rPr>
        <w:t>DODO franchisees have very different investment appetite to the COCO estate. A number of them are already stretched on the mandated rebranding programme. Asking them to also fund terminal upgrades for the wallet launch is a negotiation that will take months.</w:t>
      </w:r>
    </w:p>
    <w:p>
      <w:pPr>
        <w:pStyle w:val="ListBullet"/>
        <w:spacing w:after="60"/>
      </w:pPr>
      <w:r>
        <w:rPr>
          <w:sz w:val="20"/>
        </w:rPr>
        <w:t>My recommendation: DODO should run as a parallel workstream with its own timeline, not a dependency for COCO go-live. 136 sites vs 484 - the maths on where to focus is obvious.</w:t>
      </w:r>
    </w:p>
    <w:p>
      <w:pPr>
        <w:pStyle w:val="ListBullet"/>
        <w:spacing w:after="60"/>
      </w:pPr>
      <w:r>
        <w:rPr>
          <w:sz w:val="20"/>
        </w:rPr>
        <w:t>Happy to defend this position at SteerCo if needed. The priority is getting something live for COCO customers by Month 6.</w:t>
      </w:r>
    </w:p>
    <w:p>
      <w:pPr>
        <w:spacing w:after="80"/>
      </w:pPr>
      <w:r>
        <w:rPr>
          <w:b w:val="0"/>
          <w:i/>
          <w:color w:val="555555"/>
          <w:sz w:val="19"/>
        </w:rPr>
        <w:t>[Note: Pak Yusuf may push back on the framing. Will need to align on comms to DODO network before this goes to SteerCo. - MLT]</w:t>
      </w:r>
    </w:p>
    <w:p/>
    <w:p>
      <w:pPr>
        <w:pStyle w:val="Heading1"/>
      </w:pPr>
      <w:r>
        <w:rPr>
          <w:b/>
          <w:color w:val="1A3557"/>
          <w:sz w:val="26"/>
        </w:rPr>
        <w:t>4.  Feature List - My View</w:t>
      </w:r>
    </w:p>
    <w:p>
      <w:pPr>
        <w:spacing w:after="80"/>
      </w:pPr>
      <w:r>
        <w:rPr>
          <w:b w:val="0"/>
          <w:i w:val="0"/>
          <w:sz w:val="20"/>
        </w:rPr>
        <w:t>Short and simple. I've seen competitor apps try to launch with 8 features and none of them worked properly at launch. Start with what matters.</w:t>
      </w:r>
    </w:p>
    <w:p>
      <w:pPr>
        <w:spacing w:after="80"/>
      </w:pPr>
      <w:r>
        <w:rPr>
          <w:b/>
          <w:i w:val="0"/>
          <w:sz w:val="21"/>
        </w:rPr>
        <w:t>Must-have at go-live:</w:t>
      </w:r>
    </w:p>
    <w:p>
      <w:pPr>
        <w:pStyle w:val="ListBullet"/>
        <w:spacing w:after="60"/>
      </w:pPr>
      <w:r>
        <w:rPr>
          <w:sz w:val="20"/>
        </w:rPr>
        <w:t>Fast-pay at pump (QR or NFC - TBC on infrastructure read from P10)</w:t>
      </w:r>
    </w:p>
    <w:p>
      <w:pPr>
        <w:pStyle w:val="ListBullet"/>
        <w:spacing w:after="60"/>
      </w:pPr>
      <w:r>
        <w:rPr>
          <w:sz w:val="20"/>
        </w:rPr>
        <w:t>Stored value wallet with easy top-up (bank transfer, convenience store)</w:t>
      </w:r>
    </w:p>
    <w:p>
      <w:pPr>
        <w:pStyle w:val="ListBullet"/>
        <w:spacing w:after="60"/>
      </w:pPr>
      <w:r>
        <w:rPr>
          <w:sz w:val="20"/>
        </w:rPr>
        <w:t>Basic points for fuel visits (litres or visit-based, simple mechanic)</w:t>
      </w:r>
    </w:p>
    <w:p>
      <w:pPr>
        <w:pStyle w:val="ListBullet"/>
        <w:spacing w:after="60"/>
      </w:pPr>
      <w:r>
        <w:rPr>
          <w:sz w:val="20"/>
        </w:rPr>
        <w:t>Convenience store attachment - scan-and-pay at C-store checkout</w:t>
      </w:r>
    </w:p>
    <w:p>
      <w:pPr>
        <w:spacing w:after="80"/>
      </w:pPr>
      <w:r>
        <w:rPr>
          <w:b/>
          <w:i w:val="0"/>
          <w:sz w:val="21"/>
        </w:rPr>
        <w:t>Nice-to-have (Phase 2 / post-M12):</w:t>
      </w:r>
    </w:p>
    <w:p>
      <w:pPr>
        <w:pStyle w:val="ListBullet"/>
        <w:spacing w:after="60"/>
      </w:pPr>
      <w:r>
        <w:rPr>
          <w:sz w:val="20"/>
        </w:rPr>
        <w:t>Partner redemption network (non-fuel merchants)</w:t>
      </w:r>
    </w:p>
    <w:p>
      <w:pPr>
        <w:pStyle w:val="ListBullet"/>
        <w:spacing w:after="60"/>
      </w:pPr>
      <w:r>
        <w:rPr>
          <w:sz w:val="20"/>
        </w:rPr>
        <w:t>Tiered status / premium loyalty</w:t>
      </w:r>
    </w:p>
    <w:p>
      <w:pPr>
        <w:pStyle w:val="ListBullet"/>
        <w:spacing w:after="60"/>
      </w:pPr>
      <w:r>
        <w:rPr>
          <w:sz w:val="20"/>
        </w:rPr>
        <w:t>In-app fuel price lock or pre-booking</w:t>
      </w:r>
    </w:p>
    <w:p>
      <w:pPr>
        <w:pStyle w:val="ListBullet"/>
        <w:spacing w:after="60"/>
      </w:pPr>
      <w:r>
        <w:rPr>
          <w:sz w:val="20"/>
        </w:rPr>
        <w:t>Fleet / SME wallet variant</w:t>
      </w:r>
    </w:p>
    <w:p>
      <w:pPr>
        <w:spacing w:after="80"/>
      </w:pPr>
      <w:r>
        <w:rPr>
          <w:b/>
          <w:i w:val="0"/>
          <w:sz w:val="21"/>
        </w:rPr>
        <w:t>Things I'm sceptical of:</w:t>
      </w:r>
    </w:p>
    <w:p>
      <w:pPr>
        <w:pStyle w:val="ListBullet"/>
        <w:spacing w:after="60"/>
      </w:pPr>
      <w:r>
        <w:rPr>
          <w:sz w:val="20"/>
        </w:rPr>
        <w:t>Complicated tier structures at launch. Keep it simple for the customer. Bronze/Silver/Gold with 12 earn rules is not 'simple'.</w:t>
      </w:r>
    </w:p>
    <w:p>
      <w:pPr>
        <w:pStyle w:val="ListBullet"/>
        <w:spacing w:after="60"/>
      </w:pPr>
      <w:r>
        <w:rPr>
          <w:sz w:val="20"/>
        </w:rPr>
        <w:t>Gamification at Phase 1. Not our customer demographic - or at least not proven.</w:t>
      </w:r>
    </w:p>
    <w:p>
      <w:pPr>
        <w:pStyle w:val="ListBullet"/>
        <w:spacing w:after="60"/>
      </w:pPr>
      <w:r>
        <w:rPr>
          <w:sz w:val="20"/>
        </w:rPr>
        <w:t>Biometric payment as a go-live requirement. Nice for the press release, not something we can guarantee on our POS estate by M6.</w:t>
      </w:r>
    </w:p>
    <w:p>
      <w:pPr>
        <w:spacing w:after="80"/>
      </w:pPr>
      <w:r>
        <w:rPr>
          <w:b w:val="0"/>
          <w:i/>
          <w:color w:val="555555"/>
          <w:sz w:val="19"/>
        </w:rPr>
        <w:t>TBC with tech team: which of the Phase 1 features are compatible with the sourcing architecture coming out of P13. Don't want to spec something that the platform can't deliver in time.</w:t>
      </w:r>
    </w:p>
    <w:p/>
    <w:p>
      <w:pPr>
        <w:pStyle w:val="Heading1"/>
      </w:pPr>
      <w:r>
        <w:rPr>
          <w:b/>
          <w:color w:val="1A3557"/>
          <w:sz w:val="26"/>
        </w:rPr>
        <w:t>5.  Non-Negotiables</w:t>
      </w:r>
    </w:p>
    <w:p>
      <w:pPr>
        <w:spacing w:after="80"/>
      </w:pPr>
      <w:r>
        <w:rPr>
          <w:b w:val="0"/>
          <w:i w:val="0"/>
          <w:sz w:val="20"/>
        </w:rPr>
        <w:t>For the record - things I will push back on hard if the design goes a different direction:</w:t>
      </w:r>
    </w:p>
    <w:p>
      <w:pPr>
        <w:pStyle w:val="ListBullet"/>
        <w:spacing w:after="60"/>
      </w:pPr>
      <w:r>
        <w:rPr>
          <w:sz w:val="20"/>
        </w:rPr>
        <w:t>COCO-first launch. Not a simultaneous 620-station rollout. We don't have the operational bandwidth and the risk of a bad first impression is too high.</w:t>
      </w:r>
    </w:p>
    <w:p>
      <w:pPr>
        <w:pStyle w:val="ListBullet"/>
        <w:spacing w:after="60"/>
      </w:pPr>
      <w:r>
        <w:rPr>
          <w:sz w:val="20"/>
        </w:rPr>
        <w:t>Go-live at Month 6 is the commitment to the Board. I've already said this publicly. Slipping to Month 9 is not acceptable without a very strong reason.</w:t>
      </w:r>
    </w:p>
    <w:p>
      <w:pPr>
        <w:pStyle w:val="ListBullet"/>
        <w:spacing w:after="60"/>
      </w:pPr>
      <w:r>
        <w:rPr>
          <w:sz w:val="20"/>
        </w:rPr>
        <w:t>The wallet must work for 2-wheeler customers. They are the majority of our visit frequency. Any design that implicitly assumes 4-wheel car customers is wrong.</w:t>
      </w:r>
    </w:p>
    <w:p>
      <w:pPr>
        <w:spacing w:before="40" w:after="40"/>
        <w:pBdr>
          <w:bottom w:val="single" w:sz="4" w:space="1" w:color="E8872A"/>
        </w:pBdr>
      </w:pPr>
    </w:p>
    <w:p>
      <w:pPr>
        <w:spacing w:before="120"/>
      </w:pPr>
      <w:r>
        <w:rPr>
          <w:i/>
          <w:color w:val="555555"/>
          <w:sz w:val="19"/>
        </w:rPr>
        <w:t>Please circulate to the P40 workstream leads before the Thursday session. I'll be dialling in for the first 30 minutes - Marcus has the full hour.</w:t>
        <w:br/>
        <w:t>- MLT, Week 5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1584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5"/>
      </w:rPr>
      <w:t>Week 5 draft - not for SteerCo distribution  |  Aurelian &amp; Co | PetroNusa Digital Strategy |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E8872A"/>
        <w:sz w:val="18"/>
      </w:rPr>
      <w:t xml:space="preserve">DRAFT  |  </w:t>
    </w:r>
    <w:r>
      <w:rPr>
        <w:i/>
        <w:color w:val="555555"/>
        <w:sz w:val="16"/>
      </w:rPr>
      <w:t>Aurelian &amp; Co | PetroNusa Digital Strategy |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