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18"/>
        </w:rPr>
        <w:t>Aurelian &amp; Co  |  PetroNusa -- Loyalty Workstream  |  STRICTLY CONFIDENTIAL</w:t>
      </w:r>
    </w:p>
    <w:p/>
    <w:p>
      <w:r>
        <w:rPr>
          <w:b/>
          <w:sz w:val="20"/>
        </w:rPr>
        <w:t>From:     Marcus Whelan &lt;m.whelan@aurelian.com&gt;</w:t>
      </w:r>
      <w:r>
        <w:rPr>
          <w:sz w:val="20"/>
        </w:rPr>
      </w:r>
    </w:p>
    <w:p>
      <w:r>
        <w:rPr>
          <w:b/>
          <w:sz w:val="20"/>
        </w:rPr>
        <w:t>To:       Citra Widyastuti &lt;c.widyastuti@aurelian.com&gt;</w:t>
      </w:r>
      <w:r>
        <w:rPr>
          <w:sz w:val="20"/>
        </w:rPr>
      </w:r>
    </w:p>
    <w:p>
      <w:r>
        <w:rPr>
          <w:b/>
          <w:sz w:val="20"/>
        </w:rPr>
        <w:t>Date:     Monday, 4 August 2025</w:t>
      </w:r>
    </w:p>
    <w:p>
      <w:r>
        <w:rPr>
          <w:b/>
          <w:sz w:val="20"/>
        </w:rPr>
        <w:t>Subject:  RE: Loyalty redesign -- brief for SteerCo 5</w:t>
      </w:r>
      <w:r>
        <w:rPr>
          <w:sz w:val="20"/>
        </w:rPr>
      </w:r>
    </w:p>
    <w:p/>
    <w:p>
      <w:r>
        <w:rPr>
          <w:sz w:val="20"/>
        </w:rPr>
        <w:t>Citra,</w:t>
      </w:r>
    </w:p>
    <w:p/>
    <w:p>
      <w:r>
        <w:rPr>
          <w:sz w:val="20"/>
        </w:rPr>
        <w:t>SteerCo 5 is on 21 August and we need the loyalty redesign locked before it. Bambang and Hendra are both going to be in the room, so the recommendation has to be tight.</w:t>
      </w:r>
    </w:p>
    <w:p/>
    <w:p>
      <w:r>
        <w:rPr>
          <w:sz w:val="20"/>
        </w:rPr>
        <w:t>The brief is straightforward: take the current-state working file and use it to redesign PetroPoin's earn/burn mechanics, tier structure, and NFR cross-sell integration. The current-state work highlighted some real issues with programme health -- enrolment looks impressive but we suspect a lot of those members are not actually active. EBITDA is already under pressure (6.2% margin, down from 8.4% the year before), so we cannot propose a redesign that just throws money at members without a clear incremental return.</w:t>
      </w:r>
    </w:p>
    <w:p/>
    <w:p>
      <w:r>
        <w:rPr>
          <w:sz w:val="20"/>
        </w:rPr>
        <w:t>The steer you have to test comes from Mei-Ling. Her line at the steering group last week was, near enough: customers clearly love the points mechanic, so double the earn rate and layer in some cashback like KhatuFuel does, and that closes the gap with ArthaFuel on headline offer. She has Bambang half-persuaded. Run through the numbers and check whether it holds up economically -- if it does, good, we lead with it.</w:t>
      </w:r>
    </w:p>
    <w:p/>
    <w:p>
      <w:r>
        <w:rPr>
          <w:sz w:val="20"/>
        </w:rPr>
        <w:t>The wallet sourcing call sits with Hendra's team on P40/P13 -- stay in our lane.</w:t>
      </w:r>
    </w:p>
    <w:p/>
    <w:p>
      <w:r>
        <w:rPr>
          <w:sz w:val="20"/>
        </w:rPr>
        <w:t>Deliverables for SteerCo 5:</w:t>
      </w:r>
    </w:p>
    <w:p/>
    <w:p>
      <w:r>
        <w:rPr>
          <w:sz w:val="20"/>
        </w:rPr>
        <w:t xml:space="preserve">  -  A redesign economics model in Excel and a deck for Bambang. Show me the money case, not just engagement metrics. Aurelian house style on both, and keep the deck sharp -- Bambang does not sit through long decks.</w:t>
      </w:r>
    </w:p>
    <w:p/>
    <w:p>
      <w:r>
        <w:rPr>
          <w:sz w:val="20"/>
        </w:rPr>
        <w:t>The competitor research file is in the folder alongside the current-state working summary. ArthaFuel and KhatuFuel data is in there if you need it.</w:t>
      </w:r>
    </w:p>
    <w:p/>
    <w:p>
      <w:r>
        <w:rPr>
          <w:sz w:val="20"/>
        </w:rPr>
        <w:t>Let me know if anything is ambiguous. I am in client meetings Wednesday afternoon but available Thursday morning.</w:t>
      </w:r>
    </w:p>
    <w:p/>
    <w:p>
      <w:r>
        <w:rPr>
          <w:sz w:val="20"/>
        </w:rPr>
        <w:t>Thanks,</w:t>
      </w:r>
    </w:p>
    <w:p>
      <w:r>
        <w:rPr>
          <w:b/>
          <w:sz w:val="20"/>
        </w:rPr>
        <w:t>Marcus</w:t>
      </w:r>
    </w:p>
    <w:p/>
    <w:p>
      <w:pPr>
        <w:jc w:val="center"/>
      </w:pPr>
      <w:r>
        <w:rPr>
          <w:color w:val="808080"/>
          <w:sz w:val="16"/>
        </w:rPr>
        <w:t>Aurelian &amp; Co | PetroNusa -- Loyalty Workstream | STRICTLY CONFIDENTIAL</w:t>
        <w:br/>
        <w:t>This message is intended only for the named recipient(s). If received in error, please notify the sender and delete immediately.</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