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26"/>
        </w:rPr>
        <w:t>PetroNusa Loyalty Workstream -- Current-State Assessment: Handoff Note for the Redesign</w:t>
      </w:r>
    </w:p>
    <w:p>
      <w:pPr>
        <w:jc w:val="center"/>
      </w:pPr>
      <w:r>
        <w:rPr>
          <w:sz w:val="18"/>
        </w:rPr>
        <w:t>Internal working note  |  Author: Priya Nair, Engagement Manager  |  30 June 2025  |  DRAFT</w:t>
      </w:r>
    </w:p>
    <w:p/>
    <w:p>
      <w:r>
        <w:rPr>
          <w:b/>
          <w:color w:val="1A3A5C"/>
          <w:sz w:val="24"/>
        </w:rPr>
        <w:t>What this note is</w:t>
      </w:r>
    </w:p>
    <w:p>
      <w:r>
        <w:rPr>
          <w:sz w:val="20"/>
        </w:rPr>
        <w:t>A record of what the PetroPoin current-state work turned up between March and May 2025, and of where each figure sits in the source files, so that the redesign is not reconstructing it from memory or from the SteerCo pack. Figures are given as extracted. Several carried preliminary markers at the assessment close and are noted as such here, with anything settled since SteerCo 4 marked as settled. Nothing in this note has been through client sign-off.</w:t>
      </w:r>
    </w:p>
    <w:p/>
    <w:p>
      <w:r>
        <w:rPr>
          <w:b/>
          <w:color w:val="2C7BB6"/>
          <w:sz w:val="20"/>
        </w:rPr>
        <w:t>Membership</w:t>
      </w:r>
    </w:p>
    <w:p>
      <w:r>
        <w:rPr>
          <w:sz w:val="20"/>
        </w:rPr>
        <w:t>Enrolled members on the CRM extract at 31 December 2024: 4,219,000. That is the total record count on the extract. The file version is v2, superseding a v1 dated 21 March 2025.</w:t>
      </w:r>
    </w:p>
    <w:p/>
    <w:p>
      <w:r>
        <w:rPr>
          <w:sz w:val="20"/>
        </w:rPr>
        <w:t>The extract carries two raw last-transaction activity flags at segment level, one on a 30-day window and one on a 90-day window. Summing member counts across the segments carrying each flag gives 421,900 against the 30-day flag and 675,040 against the 90-day flag. Both are the CRM's own flags as delivered. We did not re-derive either from transaction history, and the extract does not document how the flags were set or by whom.</w:t>
      </w:r>
    </w:p>
    <w:p>
      <w:r>
        <w:rPr>
          <w:sz w:val="20"/>
        </w:rPr>
        <w:t>Tier (Silver, Gold, Plat, Elite), average fuel fills per month, average non-fuel spend and points balance are all carried at segment level on the same extract. Two segments carry an 'est.' marker and one a 'TBC' marker on partial transaction mapping.</w:t>
      </w:r>
    </w:p>
    <w:p>
      <w:r>
        <w:rPr>
          <w:b/>
          <w:color w:val="2C7BB6"/>
          <w:sz w:val="20"/>
        </w:rPr>
        <w:t>Points</w:t>
      </w:r>
    </w:p>
    <w:p>
      <w:r>
        <w:rPr>
          <w:sz w:val="20"/>
        </w:rPr>
        <w:t>Gross outstanding points balance at FY2024 year-end: 87.4 SRP bn. That is the closing balance on the points ledger and was marked preliminary on the source, subject to Q4 actuarial review. The ledger carries opening balance, issuance, redemptions and expiry or forfeiture for FY2021 through FY2024, and by quarter for FY2024. The FY2024 row does not foot on the four visible columns: it needs the prior-period accrual catch-up carried in the adjustments column at the far right of the same table.</w:t>
      </w:r>
    </w:p>
    <w:p>
      <w:r>
        <w:rPr>
          <w:sz w:val="20"/>
        </w:rPr>
        <w:t>Finance and Loyalty Ops extracted the ledger on 10 April 2025. Redemption history on the file spans both the fuel and non-fuel channels. The breakage methodology was still open at the extract date and was settled at the May 2025 actuarial review; see Open items.</w:t>
      </w:r>
    </w:p>
    <w:p>
      <w:r>
        <w:rPr>
          <w:b/>
          <w:color w:val="2C7BB6"/>
          <w:sz w:val="20"/>
        </w:rPr>
        <w:t>Earn rule -- unresolved, and load-bearing for any change to the earn rate</w:t>
      </w:r>
    </w:p>
    <w:p>
      <w:r>
        <w:rPr>
          <w:sz w:val="20"/>
        </w:rPr>
        <w:t>The Programme Overview sets one point per litre of fuel and states there are no bonus earn categories, tier multipliers or partner earn arrangements. The transaction extract does not agree with it. On all 5,479 fuel rows that carry points the points column is exactly ten times the litres column -- 38.2 litres against 382 points, and so on across the file, with no other ratio anywhere in it. A further 2,496 zero-litre non-fuel rows carry points, which the documented rule does not provide for at all, at about SRP 125 of spend per point; and 425 fuel rows have the points cell blank. Read a third way, the ledger's own SRP-denominated issuance line implies well under a tenth of a point per litre, depending on whether a point is valued at its face redemption value or at its expected cost. The readings are more than two hundred times apart and the assessment did not resolve them.</w:t>
      </w:r>
    </w:p>
    <w:p>
      <w:r>
        <w:rPr>
          <w:sz w:val="20"/>
        </w:rPr>
        <w:t>This matters for the redesign rather than for the assessment. Reward cost per point is unaffected -- the redemption rule and the breakage rate fix it. Reward cost per litre is not: on the documented rule the earn costs a sixth of the fuel gross margin on the litre that earned it, and on the recorded column it costs more than the whole of it. Any recommendation that turns on how much headroom there is under the fuel margin has to say which reading it is on and what the recommendation does on the other. This is the first item to put to the client's analytics team.</w:t>
      </w:r>
    </w:p>
    <w:p>
      <w:r>
        <w:rPr>
          <w:b/>
          <w:color w:val="2C7BB6"/>
          <w:sz w:val="20"/>
        </w:rPr>
        <w:t>Incrementality</w:t>
      </w:r>
    </w:p>
    <w:p>
      <w:r>
        <w:rPr>
          <w:sz w:val="20"/>
        </w:rPr>
        <w:t>The redemption cohort work covering Q2-Q4 FY2024, with treatment and control assigned by station cluster, is preliminary and the classification method was not settled: the 'inframarginal' label on that data is an operational proxy and the methodology note attached to it is still open. Assignment was at cluster level, whole clusters to a single arm with no cluster in both; the extract does not record any member-level matching or arm-balancing step, and the cohort rows carry a pre-period fill rate. Cohort IDs are as delivered and have not been de-duplicated.</w:t>
      </w:r>
    </w:p>
    <w:p>
      <w:r>
        <w:rPr>
          <w:b/>
          <w:color w:val="2C7BB6"/>
          <w:sz w:val="20"/>
        </w:rPr>
        <w:t>Value concentration</w:t>
      </w:r>
    </w:p>
    <w:p>
      <w:r>
        <w:rPr>
          <w:sz w:val="20"/>
        </w:rPr>
        <w:t>CRM analytics reported the FY2024 decile split by fuel transaction count on 9 April 2025. As reported, the top decile accounts for 64.1% of fuel transactions and 71.3% of non-fuel spend, and the header carried a preliminary marker against the non-fuel figure with a stated tolerance of about +/-2pp pending reconciliation with non-fuel POS data. That reconciliation closed on 27 June 2025 and the table was reissued: the top-decile figures are unchanged and the mid-decile columns were corrected. Use the reissued table on the working summary. The version still carried on the membership file's Member_Value_Decile tab is the pre-reconciliation one and its share columns do not sum -- 106.0% on fuel transactions and 110.0% on non-fuel spend.</w:t>
      </w:r>
    </w:p>
    <w:p>
      <w:r>
        <w:rPr>
          <w:b/>
          <w:color w:val="2C7BB6"/>
          <w:sz w:val="20"/>
        </w:rPr>
        <w:t>Figures taken off the competitor research file</w:t>
      </w:r>
    </w:p>
    <w:p>
      <w:r>
        <w:rPr>
          <w:sz w:val="20"/>
        </w:rPr>
        <w:t>Three figures recorded as extracted from competitor_economics_research.xlsx, with their source cells:</w:t>
      </w:r>
    </w:p>
    <w:p/>
    <w:p>
      <w:pPr>
        <w:pStyle w:val="ListBullet"/>
      </w:pPr>
      <w:r>
        <w:rPr>
          <w:sz w:val="20"/>
        </w:rPr>
        <w:t>ArthaFuel headline cashback rate: 4.2% (headline_rates!E2). Analyst estimate, not independently verified.</w:t>
      </w:r>
    </w:p>
    <w:p>
      <w:pPr>
        <w:pStyle w:val="ListBullet"/>
      </w:pPr>
      <w:r>
        <w:rPr>
          <w:sz w:val="20"/>
        </w:rPr>
        <w:t>KhatuFuel headline cashback rate: 3.8% (headline_rates!E3). Analyst estimate, not independently verified.</w:t>
      </w:r>
    </w:p>
    <w:p>
      <w:pPr>
        <w:pStyle w:val="ListBullet"/>
      </w:pPr>
      <w:r>
        <w:rPr>
          <w:sz w:val="20"/>
        </w:rPr>
        <w:t>PetroNusa fuel gross margin: 3.8% of retail price (unit_economics!B4), against the indicative pump price carried in unit_economics!B3.</w:t>
      </w:r>
    </w:p>
    <w:p/>
    <w:p>
      <w:r>
        <w:rPr>
          <w:b/>
          <w:color w:val="2C7BB6"/>
          <w:sz w:val="20"/>
        </w:rPr>
        <w:t>Open items</w:t>
      </w:r>
    </w:p>
    <w:p>
      <w:pPr>
        <w:pStyle w:val="ListBullet"/>
      </w:pPr>
      <w:r>
        <w:rPr>
          <w:sz w:val="20"/>
        </w:rPr>
        <w:t>Breakage. Finance's actuarial team estimate of 38.2% of gross outstanding, based on cohort redemption history and demographic lapse modelling on matured cohorts, was approved at the May 2025 review and is now the rate the ledger carries as current. The 45% figure that appears in the client-facing Programme Overview is a superseded 2021 estimate on a 24-month window and is marked superseded on the ledger; it should not be used. SETTLED since the assessment close.</w:t>
      </w:r>
    </w:p>
    <w:p>
      <w:pPr>
        <w:pStyle w:val="ListBullet"/>
      </w:pPr>
      <w:r>
        <w:rPr>
          <w:sz w:val="20"/>
        </w:rPr>
        <w:t>Average redemption value per transaction is still TBC on the ledger extract; the actuarial team gave an indicative range of SRP 8,000-14,000.</w:t>
      </w:r>
    </w:p>
    <w:p>
      <w:pPr>
        <w:pStyle w:val="ListBullet"/>
      </w:pPr>
      <w:r>
        <w:rPr>
          <w:sz w:val="20"/>
        </w:rPr>
        <w:t>Non-fuel POS reconciliation with Finance closed on 27 June 2025. The decile table on the working summary is the reconciled version. SETTLED since the assessment close.</w:t>
      </w:r>
    </w:p>
    <w:p>
      <w:pPr>
        <w:pStyle w:val="ListBullet"/>
      </w:pPr>
      <w:r>
        <w:rPr>
          <w:sz w:val="20"/>
        </w:rPr>
        <w:t>Programme cost. PetroPoin has never been carried as a standalone P&amp;L line and Finance had not produced one by the time the current-state work closed, so there is no programme cost figure in the pack. Still open, and it is the item that blocks closing the 0.8 to 1.5 per cent of revenue regional benchmark from the cost side.</w:t>
      </w:r>
    </w:p>
    <w:p/>
    <w:p>
      <w:r>
        <w:rPr>
          <w:color w:val="888888"/>
          <w:sz w:val="16"/>
        </w:rPr>
        <w:t>Aurelian &amp; Co | PetroNusa -- Loyalty Workstream | STRICTLY CONFIDENTIAL | DRAFT</w:t>
        <w:br/>
        <w:t>This document is a working note only. Do not circulate outside the engagement team without partner sign-off.</w:t>
      </w:r>
    </w:p>
    <w:sectPr w:rsidR="00FC693F" w:rsidRPr="0006063C" w:rsidSect="00034616">
      <w:head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3333"/>
        <w:sz w:val="16"/>
      </w:rPr>
      <w:t>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