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7A1B1B"/>
          </w:tcPr>
          <w:p>
            <w:pPr>
              <w:spacing w:before="40" w:after="40"/>
            </w:pPr>
            <w:r>
              <w:rPr>
                <w:rFonts w:ascii="Calibri" w:hAnsi="Calibri"/>
                <w:b/>
                <w:i w:val="0"/>
                <w:color w:val="FFFFFF"/>
                <w:sz w:val="18"/>
              </w:rPr>
              <w:t>PETRONUSA   —   Internal Document — Not for External Distribution</w:t>
            </w:r>
          </w:p>
        </w:tc>
      </w:tr>
    </w:tbl>
    <w:p/>
    <w:p>
      <w:pPr>
        <w:spacing w:after="40"/>
      </w:pPr>
      <w:r>
        <w:rPr>
          <w:rFonts w:ascii="Calibri" w:hAnsi="Calibri"/>
          <w:b/>
          <w:i w:val="0"/>
          <w:color w:val="0B3C5D"/>
          <w:sz w:val="30"/>
        </w:rPr>
        <w:t>PetroPoin CRM: Data Availability Summary</w:t>
      </w:r>
    </w:p>
    <w:p>
      <w:pPr>
        <w:spacing w:after="160"/>
      </w:pPr>
      <w:r>
        <w:rPr>
          <w:rFonts w:ascii="Calibri" w:hAnsi="Calibri"/>
          <w:b w:val="0"/>
          <w:i w:val="0"/>
          <w:color w:val="666666"/>
          <w:sz w:val="18"/>
        </w:rPr>
        <w:t>Department: Loyalty Operations &amp; IT  |  Prepared for: Aurelian &amp; Co. engagement  |  February 2025</w:t>
      </w:r>
    </w:p>
    <w:p>
      <w:pPr>
        <w:spacing w:after="100"/>
      </w:pPr>
      <w:r>
        <w:rPr>
          <w:rFonts w:ascii="Calibri" w:hAnsi="Calibri"/>
          <w:b w:val="0"/>
          <w:i w:val="0"/>
          <w:color w:val="1A1A1A"/>
          <w:sz w:val="20"/>
        </w:rPr>
        <w:t>This note summarises the data available from the PetroPoin loyalty CRM (LoyaltyTrack 4.2) in response to the data access request submitted by the Aurelian &amp; Co. engagement team ahead of the next Steering Committee. It covers transaction-level data capture, station integration, segmentation capability, and member record structure. The system was last upgraded in 2019.</w:t>
      </w:r>
    </w:p>
    <w:p>
      <w:pPr>
        <w:spacing w:before="180" w:after="60"/>
      </w:pPr>
      <w:r>
        <w:rPr>
          <w:rFonts w:ascii="Calibri" w:hAnsi="Calibri"/>
          <w:b/>
          <w:i w:val="0"/>
          <w:color w:val="0B3C5D"/>
          <w:sz w:val="22"/>
        </w:rPr>
        <w:t>1. Transaction Data Captured</w:t>
      </w:r>
    </w:p>
    <w:p>
      <w:pPr>
        <w:spacing w:after="100"/>
      </w:pPr>
      <w:r>
        <w:rPr>
          <w:rFonts w:ascii="Calibri" w:hAnsi="Calibri"/>
          <w:b w:val="0"/>
          <w:i w:val="0"/>
          <w:color w:val="1A1A1A"/>
          <w:sz w:val="20"/>
        </w:rPr>
        <w:t>The following fields are recorded in LoyaltyTrack at the point of each earn transaction. Fields marked 'Yes' under All Stations are available across the full network; see Section 2 for station-level coverage notes.</w:t>
      </w:r>
    </w:p>
    <w:tbl>
      <w:tblPr>
        <w:tblStyle w:val="TableGrid"/>
        <w:tblW w:type="auto" w:w="0"/>
        <w:jc w:val="left"/>
        <w:tblLook w:firstColumn="1" w:firstRow="1" w:lastColumn="0" w:lastRow="0" w:noHBand="0" w:noVBand="1" w:val="04A0"/>
      </w:tblPr>
      <w:tblGrid>
        <w:gridCol w:w="3312"/>
        <w:gridCol w:w="3312"/>
        <w:gridCol w:w="3312"/>
      </w:tblGrid>
      <w:tr>
        <w:tc>
          <w:tcPr>
            <w:tcW w:type="dxa" w:w="2160"/>
            <w:shd w:val="clear" w:fill="0B3C5D"/>
          </w:tcPr>
          <w:p>
            <w:pPr>
              <w:spacing w:after="20" w:before="20"/>
            </w:pPr>
            <w:r>
              <w:rPr>
                <w:rFonts w:ascii="Calibri" w:hAnsi="Calibri"/>
                <w:b/>
                <w:i w:val="0"/>
                <w:color w:val="FFFFFF"/>
                <w:sz w:val="17"/>
              </w:rPr>
              <w:t>Field</w:t>
            </w:r>
          </w:p>
        </w:tc>
        <w:tc>
          <w:tcPr>
            <w:tcW w:type="dxa" w:w="6192"/>
            <w:shd w:val="clear" w:fill="0B3C5D"/>
          </w:tcPr>
          <w:p>
            <w:pPr>
              <w:spacing w:after="20" w:before="20"/>
            </w:pPr>
            <w:r>
              <w:rPr>
                <w:rFonts w:ascii="Calibri" w:hAnsi="Calibri"/>
                <w:b/>
                <w:i w:val="0"/>
                <w:color w:val="FFFFFF"/>
                <w:sz w:val="17"/>
              </w:rPr>
              <w:t>Description</w:t>
            </w:r>
          </w:p>
        </w:tc>
        <w:tc>
          <w:tcPr>
            <w:tcW w:type="dxa" w:w="1296"/>
            <w:shd w:val="clear" w:fill="0B3C5D"/>
          </w:tcPr>
          <w:p>
            <w:pPr>
              <w:spacing w:after="20" w:before="20"/>
            </w:pPr>
            <w:r>
              <w:rPr>
                <w:rFonts w:ascii="Calibri" w:hAnsi="Calibri"/>
                <w:b/>
                <w:i w:val="0"/>
                <w:color w:val="FFFFFF"/>
                <w:sz w:val="17"/>
              </w:rPr>
              <w:t>All Stations</w:t>
            </w:r>
          </w:p>
        </w:tc>
      </w:tr>
      <w:tr>
        <w:tc>
          <w:tcPr>
            <w:tcW w:type="dxa" w:w="2160"/>
          </w:tcPr>
          <w:p>
            <w:pPr>
              <w:spacing w:after="20" w:before="20"/>
            </w:pPr>
            <w:r>
              <w:rPr>
                <w:rFonts w:ascii="Calibri" w:hAnsi="Calibri"/>
                <w:b w:val="0"/>
                <w:i w:val="0"/>
                <w:color w:val="1A1A1A"/>
                <w:sz w:val="17"/>
              </w:rPr>
              <w:t>Transaction date &amp; time</w:t>
            </w:r>
          </w:p>
        </w:tc>
        <w:tc>
          <w:tcPr>
            <w:tcW w:type="dxa" w:w="6192"/>
          </w:tcPr>
          <w:p>
            <w:pPr>
              <w:spacing w:after="20" w:before="20"/>
            </w:pPr>
            <w:r>
              <w:rPr>
                <w:rFonts w:ascii="Calibri" w:hAnsi="Calibri"/>
                <w:b w:val="0"/>
                <w:i w:val="0"/>
                <w:color w:val="1A1A1A"/>
                <w:sz w:val="17"/>
              </w:rPr>
              <w:t>Date and timestamp of the earn event, recorded at point of sale.</w:t>
            </w:r>
          </w:p>
        </w:tc>
        <w:tc>
          <w:tcPr>
            <w:tcW w:type="dxa" w:w="1296"/>
          </w:tcPr>
          <w:p>
            <w:pPr>
              <w:spacing w:after="20" w:before="20"/>
            </w:pPr>
            <w:r>
              <w:rPr>
                <w:rFonts w:ascii="Calibri" w:hAnsi="Calibri"/>
                <w:b w:val="0"/>
                <w:i w:val="0"/>
                <w:color w:val="1A1A1A"/>
                <w:sz w:val="17"/>
              </w:rPr>
              <w:t>Yes</w:t>
            </w:r>
          </w:p>
        </w:tc>
      </w:tr>
      <w:tr>
        <w:tc>
          <w:tcPr>
            <w:tcW w:type="dxa" w:w="2160"/>
            <w:shd w:val="clear" w:fill="F2F5F7"/>
          </w:tcPr>
          <w:p>
            <w:pPr>
              <w:spacing w:after="20" w:before="20"/>
            </w:pPr>
            <w:r>
              <w:rPr>
                <w:rFonts w:ascii="Calibri" w:hAnsi="Calibri"/>
                <w:b w:val="0"/>
                <w:i w:val="0"/>
                <w:color w:val="1A1A1A"/>
                <w:sz w:val="17"/>
              </w:rPr>
              <w:t>Station ID</w:t>
            </w:r>
          </w:p>
        </w:tc>
        <w:tc>
          <w:tcPr>
            <w:tcW w:type="dxa" w:w="6192"/>
            <w:shd w:val="clear" w:fill="F2F5F7"/>
          </w:tcPr>
          <w:p>
            <w:pPr>
              <w:spacing w:after="20" w:before="20"/>
            </w:pPr>
            <w:r>
              <w:rPr>
                <w:rFonts w:ascii="Calibri" w:hAnsi="Calibri"/>
                <w:b w:val="0"/>
                <w:i w:val="0"/>
                <w:color w:val="1A1A1A"/>
                <w:sz w:val="17"/>
              </w:rPr>
              <w:t>Unique identifier for the station at which the transaction occurred.</w:t>
            </w:r>
          </w:p>
        </w:tc>
        <w:tc>
          <w:tcPr>
            <w:tcW w:type="dxa" w:w="1296"/>
            <w:shd w:val="clear" w:fill="F2F5F7"/>
          </w:tcPr>
          <w:p>
            <w:pPr>
              <w:spacing w:after="20" w:before="20"/>
            </w:pPr>
            <w:r>
              <w:rPr>
                <w:rFonts w:ascii="Calibri" w:hAnsi="Calibri"/>
                <w:b w:val="0"/>
                <w:i w:val="0"/>
                <w:color w:val="1A1A1A"/>
                <w:sz w:val="17"/>
              </w:rPr>
              <w:t>Yes</w:t>
            </w:r>
          </w:p>
        </w:tc>
      </w:tr>
      <w:tr>
        <w:tc>
          <w:tcPr>
            <w:tcW w:type="dxa" w:w="2160"/>
          </w:tcPr>
          <w:p>
            <w:pPr>
              <w:spacing w:after="20" w:before="20"/>
            </w:pPr>
            <w:r>
              <w:rPr>
                <w:rFonts w:ascii="Calibri" w:hAnsi="Calibri"/>
                <w:b w:val="0"/>
                <w:i w:val="0"/>
                <w:color w:val="1A1A1A"/>
                <w:sz w:val="17"/>
              </w:rPr>
              <w:t>Fuel grade</w:t>
            </w:r>
          </w:p>
        </w:tc>
        <w:tc>
          <w:tcPr>
            <w:tcW w:type="dxa" w:w="6192"/>
          </w:tcPr>
          <w:p>
            <w:pPr>
              <w:spacing w:after="20" w:before="20"/>
            </w:pPr>
            <w:r>
              <w:rPr>
                <w:rFonts w:ascii="Calibri" w:hAnsi="Calibri"/>
                <w:b w:val="0"/>
                <w:i w:val="0"/>
                <w:color w:val="1A1A1A"/>
                <w:sz w:val="17"/>
              </w:rPr>
              <w:t>Product type: Regular Gasoline, Premium Gasoline, or Diesel. LPG and non-fuel purchases are not captured.</w:t>
            </w:r>
          </w:p>
        </w:tc>
        <w:tc>
          <w:tcPr>
            <w:tcW w:type="dxa" w:w="1296"/>
          </w:tcPr>
          <w:p>
            <w:pPr>
              <w:spacing w:after="20" w:before="20"/>
            </w:pPr>
            <w:r>
              <w:rPr>
                <w:rFonts w:ascii="Calibri" w:hAnsi="Calibri"/>
                <w:b w:val="0"/>
                <w:i w:val="0"/>
                <w:color w:val="1A1A1A"/>
                <w:sz w:val="17"/>
              </w:rPr>
              <w:t>Yes</w:t>
            </w:r>
          </w:p>
        </w:tc>
      </w:tr>
      <w:tr>
        <w:tc>
          <w:tcPr>
            <w:tcW w:type="dxa" w:w="2160"/>
            <w:shd w:val="clear" w:fill="F2F5F7"/>
          </w:tcPr>
          <w:p>
            <w:pPr>
              <w:spacing w:after="20" w:before="20"/>
            </w:pPr>
            <w:r>
              <w:rPr>
                <w:rFonts w:ascii="Calibri" w:hAnsi="Calibri"/>
                <w:b w:val="0"/>
                <w:i w:val="0"/>
                <w:color w:val="1A1A1A"/>
                <w:sz w:val="17"/>
              </w:rPr>
              <w:t>Volume dispensed (litres)</w:t>
            </w:r>
          </w:p>
        </w:tc>
        <w:tc>
          <w:tcPr>
            <w:tcW w:type="dxa" w:w="6192"/>
            <w:shd w:val="clear" w:fill="F2F5F7"/>
          </w:tcPr>
          <w:p>
            <w:pPr>
              <w:spacing w:after="20" w:before="20"/>
            </w:pPr>
            <w:r>
              <w:rPr>
                <w:rFonts w:ascii="Calibri" w:hAnsi="Calibri"/>
                <w:b w:val="0"/>
                <w:i w:val="0"/>
                <w:color w:val="1A1A1A"/>
                <w:sz w:val="17"/>
              </w:rPr>
              <w:t>Litres of fuel dispensed; the basis for points issuance under the programme earn rule.</w:t>
            </w:r>
          </w:p>
        </w:tc>
        <w:tc>
          <w:tcPr>
            <w:tcW w:type="dxa" w:w="1296"/>
            <w:shd w:val="clear" w:fill="F2F5F7"/>
          </w:tcPr>
          <w:p>
            <w:pPr>
              <w:spacing w:after="20" w:before="20"/>
            </w:pPr>
            <w:r>
              <w:rPr>
                <w:rFonts w:ascii="Calibri" w:hAnsi="Calibri"/>
                <w:b w:val="0"/>
                <w:i w:val="0"/>
                <w:color w:val="1A1A1A"/>
                <w:sz w:val="17"/>
              </w:rPr>
              <w:t>Yes</w:t>
            </w:r>
          </w:p>
        </w:tc>
      </w:tr>
      <w:tr>
        <w:tc>
          <w:tcPr>
            <w:tcW w:type="dxa" w:w="2160"/>
          </w:tcPr>
          <w:p>
            <w:pPr>
              <w:spacing w:after="20" w:before="20"/>
            </w:pPr>
            <w:r>
              <w:rPr>
                <w:rFonts w:ascii="Calibri" w:hAnsi="Calibri"/>
                <w:b w:val="0"/>
                <w:i w:val="0"/>
                <w:color w:val="1A1A1A"/>
                <w:sz w:val="17"/>
              </w:rPr>
              <w:t>Points issued</w:t>
            </w:r>
          </w:p>
        </w:tc>
        <w:tc>
          <w:tcPr>
            <w:tcW w:type="dxa" w:w="6192"/>
          </w:tcPr>
          <w:p>
            <w:pPr>
              <w:spacing w:after="20" w:before="20"/>
            </w:pPr>
            <w:r>
              <w:rPr>
                <w:rFonts w:ascii="Calibri" w:hAnsi="Calibri"/>
                <w:b w:val="0"/>
                <w:i w:val="0"/>
                <w:color w:val="1A1A1A"/>
                <w:sz w:val="17"/>
              </w:rPr>
              <w:t>Points credited to the member account for the transaction, calculated at 1 point per litre.</w:t>
            </w:r>
          </w:p>
        </w:tc>
        <w:tc>
          <w:tcPr>
            <w:tcW w:type="dxa" w:w="1296"/>
          </w:tcPr>
          <w:p>
            <w:pPr>
              <w:spacing w:after="20" w:before="20"/>
            </w:pPr>
            <w:r>
              <w:rPr>
                <w:rFonts w:ascii="Calibri" w:hAnsi="Calibri"/>
                <w:b w:val="0"/>
                <w:i w:val="0"/>
                <w:color w:val="1A1A1A"/>
                <w:sz w:val="17"/>
              </w:rPr>
              <w:t>Yes</w:t>
            </w:r>
          </w:p>
        </w:tc>
      </w:tr>
      <w:tr>
        <w:tc>
          <w:tcPr>
            <w:tcW w:type="dxa" w:w="2160"/>
            <w:shd w:val="clear" w:fill="F2F5F7"/>
          </w:tcPr>
          <w:p>
            <w:pPr>
              <w:spacing w:after="20" w:before="20"/>
            </w:pPr>
            <w:r>
              <w:rPr>
                <w:rFonts w:ascii="Calibri" w:hAnsi="Calibri"/>
                <w:b w:val="0"/>
                <w:i w:val="0"/>
                <w:color w:val="1A1A1A"/>
                <w:sz w:val="17"/>
              </w:rPr>
              <w:t>Cumulative points balance</w:t>
            </w:r>
          </w:p>
        </w:tc>
        <w:tc>
          <w:tcPr>
            <w:tcW w:type="dxa" w:w="6192"/>
            <w:shd w:val="clear" w:fill="F2F5F7"/>
          </w:tcPr>
          <w:p>
            <w:pPr>
              <w:spacing w:after="20" w:before="20"/>
            </w:pPr>
            <w:r>
              <w:rPr>
                <w:rFonts w:ascii="Calibri" w:hAnsi="Calibri"/>
                <w:b w:val="0"/>
                <w:i w:val="0"/>
                <w:color w:val="1A1A1A"/>
                <w:sz w:val="17"/>
              </w:rPr>
              <w:t>Running points balance on the member account at the time of the transaction.</w:t>
            </w:r>
          </w:p>
        </w:tc>
        <w:tc>
          <w:tcPr>
            <w:tcW w:type="dxa" w:w="1296"/>
            <w:shd w:val="clear" w:fill="F2F5F7"/>
          </w:tcPr>
          <w:p>
            <w:pPr>
              <w:spacing w:after="20" w:before="20"/>
            </w:pPr>
            <w:r>
              <w:rPr>
                <w:rFonts w:ascii="Calibri" w:hAnsi="Calibri"/>
                <w:b w:val="0"/>
                <w:i w:val="0"/>
                <w:color w:val="1A1A1A"/>
                <w:sz w:val="17"/>
              </w:rPr>
              <w:t>Yes</w:t>
            </w:r>
          </w:p>
        </w:tc>
      </w:tr>
      <w:tr>
        <w:tc>
          <w:tcPr>
            <w:tcW w:type="dxa" w:w="2160"/>
          </w:tcPr>
          <w:p>
            <w:pPr>
              <w:spacing w:after="20" w:before="20"/>
            </w:pPr>
            <w:r>
              <w:rPr>
                <w:rFonts w:ascii="Calibri" w:hAnsi="Calibri"/>
                <w:b w:val="0"/>
                <w:i w:val="0"/>
                <w:color w:val="1A1A1A"/>
                <w:sz w:val="17"/>
              </w:rPr>
              <w:t>Registration method</w:t>
            </w:r>
          </w:p>
        </w:tc>
        <w:tc>
          <w:tcPr>
            <w:tcW w:type="dxa" w:w="6192"/>
          </w:tcPr>
          <w:p>
            <w:pPr>
              <w:spacing w:after="20" w:before="20"/>
            </w:pPr>
            <w:r>
              <w:rPr>
                <w:rFonts w:ascii="Calibri" w:hAnsi="Calibri"/>
                <w:b w:val="0"/>
                <w:i w:val="0"/>
                <w:color w:val="1A1A1A"/>
                <w:sz w:val="17"/>
              </w:rPr>
              <w:t>Whether the member presented a plastic card or a registered phone number at the point of sale.</w:t>
            </w:r>
          </w:p>
        </w:tc>
        <w:tc>
          <w:tcPr>
            <w:tcW w:type="dxa" w:w="1296"/>
          </w:tcPr>
          <w:p>
            <w:pPr>
              <w:spacing w:after="20" w:before="20"/>
            </w:pPr>
            <w:r>
              <w:rPr>
                <w:rFonts w:ascii="Calibri" w:hAnsi="Calibri"/>
                <w:b w:val="0"/>
                <w:i w:val="0"/>
                <w:color w:val="1A1A1A"/>
                <w:sz w:val="17"/>
              </w:rPr>
              <w:t>Yes</w:t>
            </w:r>
          </w:p>
        </w:tc>
      </w:tr>
      <w:tr>
        <w:tc>
          <w:tcPr>
            <w:tcW w:type="dxa" w:w="2160"/>
            <w:shd w:val="clear" w:fill="F2F5F7"/>
          </w:tcPr>
          <w:p>
            <w:pPr>
              <w:spacing w:after="20" w:before="20"/>
            </w:pPr>
            <w:r>
              <w:rPr>
                <w:rFonts w:ascii="Calibri" w:hAnsi="Calibri"/>
                <w:b w:val="0"/>
                <w:i w:val="0"/>
                <w:color w:val="1A1A1A"/>
                <w:sz w:val="17"/>
              </w:rPr>
              <w:t>Transaction spend value</w:t>
            </w:r>
          </w:p>
        </w:tc>
        <w:tc>
          <w:tcPr>
            <w:tcW w:type="dxa" w:w="6192"/>
            <w:shd w:val="clear" w:fill="F2F5F7"/>
          </w:tcPr>
          <w:p>
            <w:pPr>
              <w:spacing w:after="20" w:before="20"/>
            </w:pPr>
            <w:r>
              <w:rPr>
                <w:rFonts w:ascii="Calibri" w:hAnsi="Calibri"/>
                <w:b w:val="0"/>
                <w:i w:val="0"/>
                <w:color w:val="1A1A1A"/>
                <w:sz w:val="17"/>
              </w:rPr>
              <w:t>Monetary value of the fuel purchase. Not recorded in LoyaltyTrack; the earn logic is volume-based, not spend-based. Available separately in station POS systems but not integrated into the loyalty CRM.</w:t>
            </w:r>
          </w:p>
        </w:tc>
        <w:tc>
          <w:tcPr>
            <w:tcW w:type="dxa" w:w="1296"/>
            <w:shd w:val="clear" w:fill="F2F5F7"/>
          </w:tcPr>
          <w:p>
            <w:pPr>
              <w:spacing w:after="20" w:before="20"/>
            </w:pPr>
            <w:r>
              <w:rPr>
                <w:rFonts w:ascii="Calibri" w:hAnsi="Calibri"/>
                <w:b w:val="0"/>
                <w:i w:val="0"/>
                <w:color w:val="1A1A1A"/>
                <w:sz w:val="17"/>
              </w:rPr>
              <w:t>No</w:t>
            </w:r>
          </w:p>
        </w:tc>
      </w:tr>
      <w:tr>
        <w:tc>
          <w:tcPr>
            <w:tcW w:type="dxa" w:w="2160"/>
          </w:tcPr>
          <w:p>
            <w:pPr>
              <w:spacing w:after="20" w:before="20"/>
            </w:pPr>
            <w:r>
              <w:rPr>
                <w:rFonts w:ascii="Calibri" w:hAnsi="Calibri"/>
                <w:b w:val="0"/>
                <w:i w:val="0"/>
                <w:color w:val="1A1A1A"/>
                <w:sz w:val="17"/>
              </w:rPr>
              <w:t>Demographic data</w:t>
            </w:r>
          </w:p>
        </w:tc>
        <w:tc>
          <w:tcPr>
            <w:tcW w:type="dxa" w:w="6192"/>
          </w:tcPr>
          <w:p>
            <w:pPr>
              <w:spacing w:after="20" w:before="20"/>
            </w:pPr>
            <w:r>
              <w:rPr>
                <w:rFonts w:ascii="Calibri" w:hAnsi="Calibri"/>
                <w:b w:val="0"/>
                <w:i w:val="0"/>
                <w:color w:val="1A1A1A"/>
                <w:sz w:val="17"/>
              </w:rPr>
              <w:t>Age, gender, address, or any other member demographic. Not collected at registration; not available in LoyaltyTrack.</w:t>
            </w:r>
          </w:p>
        </w:tc>
        <w:tc>
          <w:tcPr>
            <w:tcW w:type="dxa" w:w="1296"/>
          </w:tcPr>
          <w:p>
            <w:pPr>
              <w:spacing w:after="20" w:before="20"/>
            </w:pPr>
            <w:r>
              <w:rPr>
                <w:rFonts w:ascii="Calibri" w:hAnsi="Calibri"/>
                <w:b w:val="0"/>
                <w:i w:val="0"/>
                <w:color w:val="1A1A1A"/>
                <w:sz w:val="17"/>
              </w:rPr>
              <w:t>No</w:t>
            </w:r>
          </w:p>
        </w:tc>
      </w:tr>
    </w:tbl>
    <w:p>
      <w:pPr>
        <w:spacing w:after="40"/>
      </w:pPr>
    </w:p>
    <w:p>
      <w:pPr>
        <w:spacing w:before="180" w:after="60"/>
      </w:pPr>
      <w:r>
        <w:rPr>
          <w:rFonts w:ascii="Calibri" w:hAnsi="Calibri"/>
          <w:b/>
          <w:i w:val="0"/>
          <w:color w:val="0B3C5D"/>
          <w:sz w:val="22"/>
        </w:rPr>
        <w:t>2. POS Integration by Station Type</w:t>
      </w:r>
    </w:p>
    <w:p>
      <w:pPr>
        <w:spacing w:after="100"/>
      </w:pPr>
      <w:r>
        <w:rPr>
          <w:rFonts w:ascii="Calibri" w:hAnsi="Calibri"/>
          <w:b w:val="0"/>
          <w:i w:val="0"/>
          <w:color w:val="1A1A1A"/>
          <w:sz w:val="20"/>
        </w:rPr>
        <w:t>Transaction data reaches LoyaltyTrack through two different pathways depending on station operating model.</w:t>
      </w:r>
    </w:p>
    <w:tbl>
      <w:tblPr>
        <w:tblStyle w:val="TableGrid"/>
        <w:tblW w:type="auto" w:w="0"/>
        <w:jc w:val="left"/>
        <w:tblLook w:firstColumn="1" w:firstRow="1" w:lastColumn="0" w:lastRow="0" w:noHBand="0" w:noVBand="1" w:val="04A0"/>
      </w:tblPr>
      <w:tblGrid>
        <w:gridCol w:w="4968"/>
        <w:gridCol w:w="4968"/>
      </w:tblGrid>
      <w:tr>
        <w:tc>
          <w:tcPr>
            <w:tcW w:type="dxa" w:w="3168"/>
            <w:shd w:val="clear" w:fill="F2F5F7"/>
          </w:tcPr>
          <w:p>
            <w:pPr>
              <w:spacing w:after="20" w:before="20"/>
            </w:pPr>
            <w:r>
              <w:rPr>
                <w:rFonts w:ascii="Calibri" w:hAnsi="Calibri"/>
                <w:b w:val="0"/>
                <w:i w:val="0"/>
                <w:color w:val="1A1A1A"/>
                <w:sz w:val="17"/>
              </w:rPr>
              <w:t>COCO stations (484 stations, 78% of network)</w:t>
            </w:r>
          </w:p>
        </w:tc>
        <w:tc>
          <w:tcPr>
            <w:tcW w:type="dxa" w:w="6480"/>
            <w:shd w:val="clear" w:fill="F2F5F7"/>
          </w:tcPr>
          <w:p>
            <w:pPr>
              <w:spacing w:after="20" w:before="20"/>
            </w:pPr>
            <w:r>
              <w:rPr>
                <w:rFonts w:ascii="Calibri" w:hAnsi="Calibri"/>
                <w:b w:val="0"/>
                <w:i w:val="0"/>
                <w:color w:val="1A1A1A"/>
                <w:sz w:val="17"/>
              </w:rPr>
              <w:t>Direct POS integration. Transactions are posted to LoyaltyTrack automatically within approximately one hour of completion. Points are credited and member balances updated on a near-real-time basis.</w:t>
            </w:r>
          </w:p>
        </w:tc>
      </w:tr>
      <w:tr>
        <w:tc>
          <w:tcPr>
            <w:tcW w:type="dxa" w:w="3168"/>
          </w:tcPr>
          <w:p>
            <w:pPr>
              <w:spacing w:after="20" w:before="20"/>
            </w:pPr>
            <w:r>
              <w:rPr>
                <w:rFonts w:ascii="Calibri" w:hAnsi="Calibri"/>
                <w:b w:val="0"/>
                <w:i w:val="0"/>
                <w:color w:val="1A1A1A"/>
                <w:sz w:val="17"/>
              </w:rPr>
              <w:t>DODO stations (136 stations, 22% of network)</w:t>
            </w:r>
          </w:p>
        </w:tc>
        <w:tc>
          <w:tcPr>
            <w:tcW w:type="dxa" w:w="6480"/>
          </w:tcPr>
          <w:p>
            <w:pPr>
              <w:spacing w:after="20" w:before="20"/>
            </w:pPr>
            <w:r>
              <w:rPr>
                <w:rFonts w:ascii="Calibri" w:hAnsi="Calibri"/>
                <w:b w:val="0"/>
                <w:i w:val="0"/>
                <w:color w:val="1A1A1A"/>
                <w:sz w:val="17"/>
              </w:rPr>
              <w:t>Batch file submission. Dealers submit a daily transaction file, typically processed overnight. Points are credited the following day. A small number of DODO stations with intermittent connectivity submit files manually; in these cases processing may be delayed by 48–72 hours.</w:t>
            </w:r>
          </w:p>
        </w:tc>
      </w:tr>
    </w:tbl>
    <w:p>
      <w:pPr>
        <w:spacing w:after="40"/>
      </w:pPr>
    </w:p>
    <w:p>
      <w:pPr>
        <w:spacing w:before="180" w:after="60"/>
      </w:pPr>
      <w:r>
        <w:rPr>
          <w:rFonts w:ascii="Calibri" w:hAnsi="Calibri"/>
          <w:b/>
          <w:i w:val="0"/>
          <w:color w:val="0B3C5D"/>
          <w:sz w:val="22"/>
        </w:rPr>
        <w:t>3. Segmentation Capability</w:t>
      </w:r>
    </w:p>
    <w:p>
      <w:pPr>
        <w:spacing w:after="100"/>
      </w:pPr>
      <w:r>
        <w:rPr>
          <w:rFonts w:ascii="Calibri" w:hAnsi="Calibri"/>
          <w:b w:val="0"/>
          <w:i w:val="0"/>
          <w:color w:val="1A1A1A"/>
          <w:sz w:val="20"/>
        </w:rPr>
        <w:t>LoyaltyTrack 4.2 supports static member list extraction. The system can filter the member database by criteria including active status, registration method, points balance range, and last transaction date. Exported lists can be provided to the Loyalty Operations team for campaign use.</w:t>
      </w:r>
    </w:p>
    <w:p>
      <w:pPr>
        <w:spacing w:after="100"/>
      </w:pPr>
      <w:r>
        <w:rPr>
          <w:rFonts w:ascii="Calibri" w:hAnsi="Calibri"/>
          <w:b w:val="0"/>
          <w:i w:val="0"/>
          <w:color w:val="1A1A1A"/>
          <w:sz w:val="20"/>
        </w:rPr>
        <w:t>Dynamic segmentation, automated rules-based targeting, and predictive or model-driven segment generation are not supported by LoyaltyTrack 4.2. No member segments are currently configured or in active use within the system.</w:t>
      </w:r>
    </w:p>
    <w:p>
      <w:pPr>
        <w:spacing w:before="180" w:after="60"/>
      </w:pPr>
      <w:r>
        <w:rPr>
          <w:rFonts w:ascii="Calibri" w:hAnsi="Calibri"/>
          <w:b/>
          <w:i w:val="0"/>
          <w:color w:val="0B3C5D"/>
          <w:sz w:val="22"/>
        </w:rPr>
        <w:t>4. Member Record Structure &amp; Cross-Channel Linkage</w:t>
      </w:r>
    </w:p>
    <w:p>
      <w:pPr>
        <w:spacing w:after="100"/>
      </w:pPr>
      <w:r>
        <w:rPr>
          <w:rFonts w:ascii="Calibri" w:hAnsi="Calibri"/>
          <w:b w:val="0"/>
          <w:i w:val="0"/>
          <w:color w:val="1A1A1A"/>
          <w:sz w:val="20"/>
        </w:rPr>
        <w:t xml:space="preserve">Card-registered and phone-registered members are stored as separate record types within LoyaltyTrack. </w:t>
      </w:r>
      <w:r>
        <w:rPr>
          <w:rFonts w:ascii="Calibri" w:hAnsi="Calibri"/>
          <w:b/>
          <w:i w:val="0"/>
          <w:color w:val="1A1A1A"/>
          <w:sz w:val="20"/>
        </w:rPr>
        <w:t>A member who registered using a plastic card and subsequently presents a phone number at a station will generate a second, separate record</w:t>
      </w:r>
      <w:r>
        <w:rPr>
          <w:rFonts w:ascii="Calibri" w:hAnsi="Calibri"/>
          <w:b w:val="0"/>
          <w:i w:val="0"/>
          <w:color w:val="1A1A1A"/>
          <w:sz w:val="20"/>
        </w:rPr>
        <w:t xml:space="preserve"> unless the Loyalty Operations team manually merges the entries. The second record is created at the point of sale, on the transaction that first uses the alternative credential.</w:t>
      </w:r>
    </w:p>
    <w:p>
      <w:pPr>
        <w:spacing w:after="100"/>
      </w:pPr>
      <w:r>
        <w:rPr>
          <w:rFonts w:ascii="Calibri" w:hAnsi="Calibri"/>
          <w:b/>
          <w:i w:val="0"/>
          <w:color w:val="1A1A1A"/>
          <w:sz w:val="20"/>
        </w:rPr>
        <w:t>Note on duplicate records:</w:t>
      </w:r>
      <w:r>
        <w:rPr>
          <w:rFonts w:ascii="Calibri" w:hAnsi="Calibri"/>
          <w:b w:val="0"/>
          <w:i w:val="0"/>
          <w:color w:val="1A1A1A"/>
          <w:sz w:val="20"/>
        </w:rPr>
        <w:t xml:space="preserve"> Automated deduplication is not available in LoyaltyTrack 4.2. The Loyalty Operations team performs periodic manual reconciliation, but the frequency and coverage of this process are not systematic. The active member count of 600,000 may include a proportion of duplicate records that have not yet been merged; </w:t>
      </w:r>
      <w:r>
        <w:rPr>
          <w:rFonts w:ascii="Calibri" w:hAnsi="Calibri"/>
          <w:b/>
          <w:i w:val="0"/>
          <w:color w:val="1A1A1A"/>
          <w:sz w:val="20"/>
        </w:rPr>
        <w:t>the exact share is not known.</w:t>
      </w:r>
    </w:p>
    <w:p>
      <w:pPr>
        <w:spacing w:after="100"/>
      </w:pPr>
      <w:r>
        <w:rPr>
          <w:rFonts w:ascii="Calibri" w:hAnsi="Calibri"/>
          <w:b w:val="0"/>
          <w:i w:val="0"/>
          <w:color w:val="1A1A1A"/>
          <w:sz w:val="20"/>
        </w:rPr>
        <w:t xml:space="preserve">Merges completed since January 2023 are recorded in the Loyalty Operations reconciliation log, provided with this note as </w:t>
      </w:r>
      <w:r>
        <w:rPr>
          <w:rFonts w:ascii="Consolas" w:hAnsi="Consolas"/>
          <w:b w:val="0"/>
          <w:i w:val="0"/>
          <w:color w:val="1A1A1A"/>
          <w:sz w:val="20"/>
        </w:rPr>
        <w:t>PetroPoin_CRM_Merge_Log_Extract.xlsx</w:t>
      </w:r>
      <w:r>
        <w:rPr>
          <w:rFonts w:ascii="Calibri" w:hAnsi="Calibri"/>
          <w:b w:val="0"/>
          <w:i w:val="0"/>
          <w:color w:val="1A1A1A"/>
          <w:sz w:val="20"/>
        </w:rPr>
        <w:t>. The log records both records in each merged pair, including the last transaction date held against each at the time of merge. No log exists for the period before January 2023 and no estimate of the remaining unmerged population is held.</w:t>
      </w:r>
    </w:p>
    <w:p>
      <w:pPr>
        <w:spacing w:before="200"/>
      </w:pPr>
      <w:r>
        <w:rPr>
          <w:i/>
          <w:color w:val="666666"/>
          <w:sz w:val="15"/>
        </w:rPr>
        <w:t>Data described in this note reflects LoyaltyTrack 4.2 as currently configured and operated. Queries on system architecture or data extraction logistics should be directed to the Loyalty Operations team. Station POS data, where required separately from the loyalty CRM, is subject to a separate data access request.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