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C3461"/>
          <w:sz w:val="30"/>
          <w:szCs w:val="30"/>
        </w:rPr>
        <w:t xml:space="preserve">Aurelian &amp; Co.</w:t>
      </w:r>
    </w:p>
    <w:p>
      <w:pPr>
        <w:pBdr>
          <w:bottom w:val="single" w:color="CCCCCC" w:sz="4" w:space="1"/>
        </w:pBdr>
        <w:spacing w:after="160"/>
      </w:pPr>
    </w:p>
    <w:p>
      <w:pPr>
        <w:spacing w:after="60"/>
      </w:pPr>
      <w:r>
        <w:rPr>
          <w:rFonts w:ascii="Arial" w:cs="Arial" w:eastAsia="Arial" w:hAnsi="Arial"/>
          <w:b/>
          <w:bCs/>
          <w:color w:val="1C3461"/>
          <w:sz w:val="26"/>
          <w:szCs w:val="26"/>
        </w:rPr>
        <w:t xml:space="preserve">Loyalty Programme Assessment: Core Dimensions Framework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0"/>
              <w:bottom w:type="dxa" w:w="60"/>
              <w:right w:type="dxa" w:w="0"/>
            </w:tcMar>
          </w:tcPr>
          <w:p>
            <w:r>
              <w:rPr>
                <w:rFonts w:ascii="Arial" w:cs="Arial" w:eastAsia="Arial" w:hAnsi="Arial"/>
                <w:color w:val="555555"/>
                <w:sz w:val="19"/>
                <w:szCs w:val="19"/>
              </w:rPr>
              <w:t xml:space="preserve">Loyalty &amp; Customer Practice  |  Internal Reference</w:t>
            </w:r>
          </w:p>
        </w:tc>
        <w:tc>
          <w:tcPr>
            <w:tcW w:type="dxa" w:w="4680"/>
            <w:tcBorders>
              <w:top w:val="none" w:color="FFFFFF" w:sz="0"/>
              <w:left w:val="none" w:color="FFFFFF" w:sz="0"/>
              <w:bottom w:val="none" w:color="FFFFFF" w:sz="0"/>
              <w:right w:val="none" w:color="FFFFFF" w:sz="0"/>
            </w:tcBorders>
            <w:tcMar>
              <w:top w:type="dxa" w:w="20"/>
              <w:left w:type="dxa" w:w="0"/>
              <w:bottom w:type="dxa" w:w="60"/>
              <w:right w:type="dxa" w:w="0"/>
            </w:tcMar>
          </w:tcPr>
          <w:p>
            <w:pPr>
              <w:jc w:val="right"/>
            </w:pPr>
            <w:r>
              <w:rPr>
                <w:rFonts w:ascii="Arial" w:cs="Arial" w:eastAsia="Arial" w:hAnsi="Arial"/>
                <w:color w:val="555555"/>
                <w:sz w:val="19"/>
                <w:szCs w:val="19"/>
              </w:rPr>
              <w:t xml:space="preserve">Last updated: Q3 2023  |  v2.1</w:t>
            </w:r>
          </w:p>
        </w:tc>
      </w:tr>
    </w:tbl>
    <w:p>
      <w:pPr>
        <w:pBdr>
          <w:bottom w:val="single" w:color="1C3461" w:sz="5" w:space="4"/>
        </w:pBdr>
        <w:spacing w:after="100" w:before="260"/>
      </w:pPr>
      <w:r>
        <w:rPr>
          <w:rFonts w:ascii="Arial" w:cs="Arial" w:eastAsia="Arial" w:hAnsi="Arial"/>
          <w:b/>
          <w:bCs/>
          <w:color w:val="1C3461"/>
          <w:sz w:val="23"/>
          <w:szCs w:val="23"/>
        </w:rPr>
        <w:t xml:space="preserve">Purpose &amp; How to Use</w:t>
      </w:r>
    </w:p>
    <w:p>
      <w:pPr>
        <w:spacing w:after="160"/>
      </w:pPr>
      <w:r>
        <w:rPr>
          <w:rFonts w:ascii="Arial" w:cs="Arial" w:eastAsia="Arial" w:hAnsi="Arial"/>
          <w:color w:val="222222"/>
          <w:sz w:val="21"/>
          <w:szCs w:val="21"/>
        </w:rPr>
        <w:t xml:space="preserve">This note sets out the standard framework Aurelian &amp; Co. uses to structure current-state assessments of customer loyalty programmes. It defines four assessment dimensions, their measurement criteria, typical data sources, and common gaps. The framework applies across programme types — points-based, miles-based, tiered, coalition — but measurement criteria should be adapted to the specific programme in front of you. It does not prescribe findings, define assessment scope, or replace the judgement of the practitioner leading the engagement.</w:t>
      </w:r>
    </w:p>
    <w:p>
      <w:pPr>
        <w:spacing w:after="60"/>
      </w:pPr>
      <w:r>
        <w:rPr>
          <w:rFonts w:ascii="Arial" w:cs="Arial" w:eastAsia="Arial" w:hAnsi="Arial"/>
          <w:color w:val="222222"/>
          <w:sz w:val="21"/>
          <w:szCs w:val="21"/>
        </w:rPr>
        <w:t xml:space="preserve">Use this note when setting up the assessment frame for a loyalty current-state workstream. Adapt the criteria list to the programme type. Document any additions or departures from the standard four dimensions in the frame itself before proceeding.</w:t>
      </w:r>
    </w:p>
    <w:p>
      <w:pPr>
        <w:pBdr>
          <w:bottom w:val="single" w:color="1C3461" w:sz="5" w:space="4"/>
        </w:pBdr>
        <w:spacing w:after="100" w:before="260"/>
      </w:pPr>
      <w:r>
        <w:rPr>
          <w:rFonts w:ascii="Arial" w:cs="Arial" w:eastAsia="Arial" w:hAnsi="Arial"/>
          <w:b/>
          <w:bCs/>
          <w:color w:val="1C3461"/>
          <w:sz w:val="23"/>
          <w:szCs w:val="23"/>
        </w:rPr>
        <w:t xml:space="preserve">Framework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60"/>
        <w:gridCol w:w="3400"/>
        <w:gridCol w:w="4000"/>
      </w:tblGrid>
      <w:tr>
        <w:tc>
          <w:tcPr>
            <w:tcW w:type="dxa" w:w="196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Dimension</w:t>
            </w:r>
          </w:p>
        </w:tc>
        <w:tc>
          <w:tcPr>
            <w:tcW w:type="dxa" w:w="34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Definition</w:t>
            </w:r>
          </w:p>
        </w:tc>
        <w:tc>
          <w:tcPr>
            <w:tcW w:type="dxa" w:w="40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Primary Question</w:t>
            </w:r>
          </w:p>
        </w:tc>
      </w:tr>
      <w:tr>
        <w:tc>
          <w:tcPr>
            <w:tcW w:type="dxa" w:w="1960"/>
            <w:tcBorders>
              <w:top w:val="none" w:color="FFFFFF" w:sz="0"/>
              <w:left w:val="none" w:color="FFFFFF" w:sz="0"/>
              <w:bottom w:val="none" w:color="FFFFFF" w:sz="0"/>
              <w:right w:val="none" w:color="FFFFFF" w:sz="0"/>
            </w:tcBorders>
            <w:shd w:fill="F0F3F8" w:val="clear"/>
            <w:tcMar>
              <w:top w:type="dxa" w:w="80"/>
              <w:left w:type="dxa" w:w="120"/>
              <w:bottom w:type="dxa" w:w="80"/>
              <w:right w:type="dxa" w:w="80"/>
            </w:tcMar>
          </w:tcPr>
          <w:p>
            <w:r>
              <w:rPr>
                <w:rFonts w:ascii="Arial" w:cs="Arial" w:eastAsia="Arial" w:hAnsi="Arial"/>
                <w:b/>
                <w:bCs/>
                <w:color w:val="333333"/>
                <w:sz w:val="19"/>
                <w:szCs w:val="19"/>
              </w:rPr>
              <w:t xml:space="preserve">Reach</w:t>
            </w:r>
          </w:p>
        </w:tc>
        <w:tc>
          <w:tcPr>
            <w:tcW w:type="dxa" w:w="3400"/>
            <w:tcBorders>
              <w:top w:val="none" w:color="FFFFFF" w:sz="0"/>
              <w:left w:val="none" w:color="FFFFFF" w:sz="0"/>
              <w:bottom w:val="none" w:color="FFFFFF" w:sz="0"/>
              <w:right w:val="none" w:color="FFFFFF" w:sz="0"/>
            </w:tcBorders>
            <w:shd w:fill="F0F3F8" w:val="clear"/>
            <w:tcMar>
              <w:top w:type="dxa" w:w="80"/>
              <w:left w:type="dxa" w:w="120"/>
              <w:bottom w:type="dxa" w:w="80"/>
              <w:right w:type="dxa" w:w="80"/>
            </w:tcMar>
          </w:tcPr>
          <w:p>
            <w:r>
              <w:rPr>
                <w:rFonts w:ascii="Arial" w:cs="Arial" w:eastAsia="Arial" w:hAnsi="Arial"/>
                <w:b w:val="false"/>
                <w:bCs w:val="false"/>
                <w:color w:val="333333"/>
                <w:sz w:val="19"/>
                <w:szCs w:val="19"/>
              </w:rPr>
              <w:t xml:space="preserve">Scale and engagement depth of the member base</w:t>
            </w:r>
          </w:p>
        </w:tc>
        <w:tc>
          <w:tcPr>
            <w:tcW w:type="dxa" w:w="4000"/>
            <w:tcBorders>
              <w:top w:val="none" w:color="FFFFFF" w:sz="0"/>
              <w:left w:val="none" w:color="FFFFFF" w:sz="0"/>
              <w:bottom w:val="none" w:color="FFFFFF" w:sz="0"/>
              <w:right w:val="none" w:color="FFFFFF" w:sz="0"/>
            </w:tcBorders>
            <w:shd w:fill="F0F3F8" w:val="clear"/>
            <w:tcMar>
              <w:top w:type="dxa" w:w="80"/>
              <w:left w:type="dxa" w:w="120"/>
              <w:bottom w:type="dxa" w:w="80"/>
              <w:right w:type="dxa" w:w="80"/>
            </w:tcMar>
          </w:tcPr>
          <w:p>
            <w:r>
              <w:rPr>
                <w:rFonts w:ascii="Arial" w:cs="Arial" w:eastAsia="Arial" w:hAnsi="Arial"/>
                <w:b w:val="false"/>
                <w:bCs w:val="false"/>
                <w:color w:val="333333"/>
                <w:sz w:val="19"/>
                <w:szCs w:val="19"/>
              </w:rPr>
              <w:t xml:space="preserve">How large is the programme, and how genuinely active are its members?</w:t>
            </w:r>
          </w:p>
        </w:tc>
      </w:tr>
      <w:tr>
        <w:tc>
          <w:tcPr>
            <w:tcW w:type="dxa" w:w="19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333333"/>
                <w:sz w:val="19"/>
                <w:szCs w:val="19"/>
              </w:rPr>
              <w:t xml:space="preserve">Economics</w:t>
            </w:r>
          </w:p>
        </w:tc>
        <w:tc>
          <w:tcPr>
            <w:tcW w:type="dxa" w:w="34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Financial structure, cost, and sustainability of the programme</w:t>
            </w:r>
          </w:p>
        </w:tc>
        <w:tc>
          <w:tcPr>
            <w:tcW w:type="dxa" w:w="4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Is the programme earning and spending efficiently?</w:t>
            </w:r>
          </w:p>
        </w:tc>
      </w:tr>
      <w:tr>
        <w:tc>
          <w:tcPr>
            <w:tcW w:type="dxa" w:w="1960"/>
            <w:tcBorders>
              <w:top w:val="none" w:color="FFFFFF" w:sz="0"/>
              <w:left w:val="none" w:color="FFFFFF" w:sz="0"/>
              <w:bottom w:val="none" w:color="FFFFFF" w:sz="0"/>
              <w:right w:val="none" w:color="FFFFFF" w:sz="0"/>
            </w:tcBorders>
            <w:shd w:fill="F0F3F8" w:val="clear"/>
            <w:tcMar>
              <w:top w:type="dxa" w:w="80"/>
              <w:left w:type="dxa" w:w="120"/>
              <w:bottom w:type="dxa" w:w="80"/>
              <w:right w:type="dxa" w:w="80"/>
            </w:tcMar>
          </w:tcPr>
          <w:p>
            <w:r>
              <w:rPr>
                <w:rFonts w:ascii="Arial" w:cs="Arial" w:eastAsia="Arial" w:hAnsi="Arial"/>
                <w:b/>
                <w:bCs/>
                <w:color w:val="333333"/>
                <w:sz w:val="19"/>
                <w:szCs w:val="19"/>
              </w:rPr>
              <w:t xml:space="preserve">Data Infrastructure</w:t>
            </w:r>
          </w:p>
        </w:tc>
        <w:tc>
          <w:tcPr>
            <w:tcW w:type="dxa" w:w="3400"/>
            <w:tcBorders>
              <w:top w:val="none" w:color="FFFFFF" w:sz="0"/>
              <w:left w:val="none" w:color="FFFFFF" w:sz="0"/>
              <w:bottom w:val="none" w:color="FFFFFF" w:sz="0"/>
              <w:right w:val="none" w:color="FFFFFF" w:sz="0"/>
            </w:tcBorders>
            <w:shd w:fill="F0F3F8" w:val="clear"/>
            <w:tcMar>
              <w:top w:type="dxa" w:w="80"/>
              <w:left w:type="dxa" w:w="120"/>
              <w:bottom w:type="dxa" w:w="80"/>
              <w:right w:type="dxa" w:w="80"/>
            </w:tcMar>
          </w:tcPr>
          <w:p>
            <w:r>
              <w:rPr>
                <w:rFonts w:ascii="Arial" w:cs="Arial" w:eastAsia="Arial" w:hAnsi="Arial"/>
                <w:b w:val="false"/>
                <w:bCs w:val="false"/>
                <w:color w:val="333333"/>
                <w:sz w:val="19"/>
                <w:szCs w:val="19"/>
              </w:rPr>
              <w:t xml:space="preserve">Data the programme captures and its capability to act on it</w:t>
            </w:r>
          </w:p>
        </w:tc>
        <w:tc>
          <w:tcPr>
            <w:tcW w:type="dxa" w:w="4000"/>
            <w:tcBorders>
              <w:top w:val="none" w:color="FFFFFF" w:sz="0"/>
              <w:left w:val="none" w:color="FFFFFF" w:sz="0"/>
              <w:bottom w:val="none" w:color="FFFFFF" w:sz="0"/>
              <w:right w:val="none" w:color="FFFFFF" w:sz="0"/>
            </w:tcBorders>
            <w:shd w:fill="F0F3F8" w:val="clear"/>
            <w:tcMar>
              <w:top w:type="dxa" w:w="80"/>
              <w:left w:type="dxa" w:w="120"/>
              <w:bottom w:type="dxa" w:w="80"/>
              <w:right w:type="dxa" w:w="80"/>
            </w:tcMar>
          </w:tcPr>
          <w:p>
            <w:r>
              <w:rPr>
                <w:rFonts w:ascii="Arial" w:cs="Arial" w:eastAsia="Arial" w:hAnsi="Arial"/>
                <w:b w:val="false"/>
                <w:bCs w:val="false"/>
                <w:color w:val="333333"/>
                <w:sz w:val="19"/>
                <w:szCs w:val="19"/>
              </w:rPr>
              <w:t xml:space="preserve">What does the programme know about its members, and what can it do with that knowledge?</w:t>
            </w:r>
          </w:p>
        </w:tc>
      </w:tr>
      <w:tr>
        <w:tc>
          <w:tcPr>
            <w:tcW w:type="dxa" w:w="19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333333"/>
                <w:sz w:val="19"/>
                <w:szCs w:val="19"/>
              </w:rPr>
              <w:t xml:space="preserve">Proposition</w:t>
            </w:r>
          </w:p>
        </w:tc>
        <w:tc>
          <w:tcPr>
            <w:tcW w:type="dxa" w:w="34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Attractiveness of the earn and redemption experience from the member's view</w:t>
            </w:r>
          </w:p>
        </w:tc>
        <w:tc>
          <w:tcPr>
            <w:tcW w:type="dxa" w:w="4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Is the programme worth it from the member's perspective?</w:t>
            </w:r>
          </w:p>
        </w:tc>
      </w:tr>
    </w:tbl>
    <w:p>
      <w:pPr>
        <w:spacing w:after="100"/>
      </w:pPr>
    </w:p>
    <w:p>
      <w:pPr>
        <w:pBdr>
          <w:bottom w:val="single" w:color="1C3461" w:sz="5" w:space="4"/>
        </w:pBdr>
        <w:spacing w:after="100" w:before="260"/>
      </w:pPr>
      <w:r>
        <w:rPr>
          <w:rFonts w:ascii="Arial" w:cs="Arial" w:eastAsia="Arial" w:hAnsi="Arial"/>
          <w:b/>
          <w:bCs/>
          <w:color w:val="1C3461"/>
          <w:sz w:val="23"/>
          <w:szCs w:val="23"/>
        </w:rPr>
        <w:t xml:space="preserve">Dimension 1 — Reach</w:t>
      </w:r>
    </w:p>
    <w:p>
      <w:pPr>
        <w:spacing w:after="140"/>
      </w:pPr>
      <w:r>
        <w:rPr>
          <w:rFonts w:ascii="Arial" w:cs="Arial" w:eastAsia="Arial" w:hAnsi="Arial"/>
          <w:b/>
          <w:bCs/>
          <w:color w:val="555555"/>
          <w:sz w:val="20"/>
          <w:szCs w:val="20"/>
        </w:rPr>
        <w:t xml:space="preserve">Definition:  </w:t>
      </w:r>
      <w:r>
        <w:rPr>
          <w:rFonts w:ascii="Arial" w:cs="Arial" w:eastAsia="Arial" w:hAnsi="Arial"/>
          <w:color w:val="333333"/>
          <w:sz w:val="20"/>
          <w:szCs w:val="20"/>
        </w:rPr>
        <w:t xml:space="preserve">Reach covers the size, composition, and engagement depth of the programme's member base. It assesses not just how many members are registered, but how many are genuinely active, how frequently they transact, and whether the base is growing or stagnating. A large registered base with low activation is a structurally different position from a smaller but highly engaged cohort — the assessment should distinguish between the two.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60"/>
        <w:gridCol w:w="3800"/>
        <w:gridCol w:w="3600"/>
      </w:tblGrid>
      <w:tr>
        <w:tc>
          <w:tcPr>
            <w:tcW w:type="dxa" w:w="196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38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What to Measure</w:t>
            </w:r>
          </w:p>
        </w:tc>
        <w:tc>
          <w:tcPr>
            <w:tcW w:type="dxa" w:w="36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Guidance</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Registered vs. active members</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Total registered count; active member rate — define 'active' explicitly for the engagement (typically: at least one qualifying transaction in the last 12 months).</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Active rate below 20% suggests significant lapse. Above 35% is generally healthy for a fuel or grocery programme. Define the threshold clearly; client definitions vary.</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New enrollment rate</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Net new registrations in the last 12 months versus the prior 12-month period. Breakdown by registration channel where available.</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Declining enrollment is a structural signal — it may reflect category dynamics, not just programme performance.</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Transaction frequency</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Average qualifying transactions per active member per year.</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Fewer than 6 transactions per year may indicate the programme is not influencing visit behaviour. Cross-check against category visit frequency norms.</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Registration channel mix</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Share of members registered via each available channel: app, plastic card, phone number, web.</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Channel mix shapes data capture capability. App-registered members typically generate richer behavioural data than card or phone registrations.</w:t>
            </w:r>
          </w:p>
        </w:tc>
      </w:tr>
    </w:tbl>
    <w:p>
      <w:pPr>
        <w:spacing w:after="60"/>
      </w:pPr>
    </w:p>
    <w:p>
      <w:pPr>
        <w:spacing w:after="80"/>
      </w:pPr>
      <w:r>
        <w:rPr>
          <w:rFonts w:ascii="Arial" w:cs="Arial" w:eastAsia="Arial" w:hAnsi="Arial"/>
          <w:b/>
          <w:bCs/>
          <w:color w:val="555555"/>
          <w:sz w:val="20"/>
          <w:szCs w:val="20"/>
        </w:rPr>
        <w:t xml:space="preserve">Typical data sources:  </w:t>
      </w:r>
      <w:r>
        <w:rPr>
          <w:rFonts w:ascii="Arial" w:cs="Arial" w:eastAsia="Arial" w:hAnsi="Arial"/>
          <w:color w:val="333333"/>
          <w:sz w:val="20"/>
          <w:szCs w:val="20"/>
        </w:rPr>
        <w:t xml:space="preserve">CRM member database; POS transaction log; enrollment records by channel.</w:t>
      </w:r>
    </w:p>
    <w:p>
      <w:pPr>
        <w:spacing w:after="60"/>
      </w:pPr>
      <w:r>
        <w:rPr>
          <w:rFonts w:ascii="Arial" w:cs="Arial" w:eastAsia="Arial" w:hAnsi="Arial"/>
          <w:b/>
          <w:bCs/>
          <w:color w:val="555555"/>
          <w:sz w:val="20"/>
          <w:szCs w:val="20"/>
        </w:rPr>
        <w:t xml:space="preserve">Common gaps:  </w:t>
      </w:r>
      <w:r>
        <w:rPr>
          <w:rFonts w:ascii="Arial" w:cs="Arial" w:eastAsia="Arial" w:hAnsi="Arial"/>
          <w:color w:val="333333"/>
          <w:sz w:val="20"/>
          <w:szCs w:val="20"/>
        </w:rPr>
        <w:t xml:space="preserve">Definition of 'active' is frequently inconsistent in client data. Historical enrollment data may not be channel-tagged. Clarify both before pulling numbers.</w:t>
      </w:r>
    </w:p>
    <w:p>
      <w:pPr>
        <w:pBdr>
          <w:bottom w:val="single" w:color="1C3461" w:sz="5" w:space="4"/>
        </w:pBdr>
        <w:spacing w:after="100" w:before="260"/>
      </w:pPr>
      <w:r>
        <w:rPr>
          <w:rFonts w:ascii="Arial" w:cs="Arial" w:eastAsia="Arial" w:hAnsi="Arial"/>
          <w:b/>
          <w:bCs/>
          <w:color w:val="1C3461"/>
          <w:sz w:val="23"/>
          <w:szCs w:val="23"/>
        </w:rPr>
        <w:t xml:space="preserve">Dimension 2 — Economics</w:t>
      </w:r>
    </w:p>
    <w:p>
      <w:pPr>
        <w:spacing w:after="140"/>
      </w:pPr>
      <w:r>
        <w:rPr>
          <w:rFonts w:ascii="Arial" w:cs="Arial" w:eastAsia="Arial" w:hAnsi="Arial"/>
          <w:b/>
          <w:bCs/>
          <w:color w:val="555555"/>
          <w:sz w:val="20"/>
          <w:szCs w:val="20"/>
        </w:rPr>
        <w:t xml:space="preserve">Definition:  </w:t>
      </w:r>
      <w:r>
        <w:rPr>
          <w:rFonts w:ascii="Arial" w:cs="Arial" w:eastAsia="Arial" w:hAnsi="Arial"/>
          <w:color w:val="333333"/>
          <w:sz w:val="20"/>
          <w:szCs w:val="20"/>
        </w:rPr>
        <w:t xml:space="preserve">Economics covers the financial structure of the programme — what it costs to operate, what it earns back through partner contributions, and how well it manages the liability it generates. This dimension is frequently underdocumented by clients; expect gaps and plan for them in the assessment frame.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60"/>
        <w:gridCol w:w="3800"/>
        <w:gridCol w:w="3600"/>
      </w:tblGrid>
      <w:tr>
        <w:tc>
          <w:tcPr>
            <w:tcW w:type="dxa" w:w="196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38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What to Measure</w:t>
            </w:r>
          </w:p>
        </w:tc>
        <w:tc>
          <w:tcPr>
            <w:tcW w:type="dxa" w:w="36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Guidance</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Cost per point issued</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Total programme operating cost divided by total points issued in the assessment period. Separate partner-funded costs from client-borne costs.</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Blended cost figures mask the partner funding structure. Separate them to understand the true client outlay.</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Breakage rate</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Share of issued points estimated never to be redeemed. Derived from points ledger data and actuarial modelling.</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High breakage (above 50%) may signal proposition unattractiveness or poor member experience, not just favourable economics. Interpret in context.</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Outstanding points liability</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Total unredeemed points expressed as redemption cost equivalent at current rates. Map against balance sheet treatment.</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Large undisclosed or unprovisioned liabilities are a common finding in older programmes. Confirm accounting treatment with client finance team.</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Partner funding rate</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Partner revenue as a share of total programme operating cost.</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Programmes with high partner funding (above 40%) are structurally different from self-funded programmes — the economics and the strategic leverage are different.</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Incremental margin</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Estimated incremental spend or gross margin attributable to loyalty members versus matched non-members, where data is available.</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This is the most frequently unavailable criterion. Flag as a gap when not provided. Do not estimate without a defensible methodology.</w:t>
            </w:r>
          </w:p>
        </w:tc>
      </w:tr>
    </w:tbl>
    <w:p>
      <w:pPr>
        <w:spacing w:after="60"/>
      </w:pPr>
    </w:p>
    <w:p>
      <w:pPr>
        <w:spacing w:after="80"/>
      </w:pPr>
      <w:r>
        <w:rPr>
          <w:rFonts w:ascii="Arial" w:cs="Arial" w:eastAsia="Arial" w:hAnsi="Arial"/>
          <w:b/>
          <w:bCs/>
          <w:color w:val="555555"/>
          <w:sz w:val="20"/>
          <w:szCs w:val="20"/>
        </w:rPr>
        <w:t xml:space="preserve">Typical data sources:  </w:t>
      </w:r>
      <w:r>
        <w:rPr>
          <w:rFonts w:ascii="Arial" w:cs="Arial" w:eastAsia="Arial" w:hAnsi="Arial"/>
          <w:color w:val="333333"/>
          <w:sz w:val="20"/>
          <w:szCs w:val="20"/>
        </w:rPr>
        <w:t xml:space="preserve">Programme P&amp;L; points ledger; actuarial estimates; partner funding agreements; client finance team.</w:t>
      </w:r>
    </w:p>
    <w:p>
      <w:pPr>
        <w:spacing w:after="60"/>
      </w:pPr>
      <w:r>
        <w:rPr>
          <w:rFonts w:ascii="Arial" w:cs="Arial" w:eastAsia="Arial" w:hAnsi="Arial"/>
          <w:b/>
          <w:bCs/>
          <w:color w:val="555555"/>
          <w:sz w:val="20"/>
          <w:szCs w:val="20"/>
        </w:rPr>
        <w:t xml:space="preserve">Common gaps:  </w:t>
      </w:r>
      <w:r>
        <w:rPr>
          <w:rFonts w:ascii="Arial" w:cs="Arial" w:eastAsia="Arial" w:hAnsi="Arial"/>
          <w:color w:val="333333"/>
          <w:sz w:val="20"/>
          <w:szCs w:val="20"/>
        </w:rPr>
        <w:t xml:space="preserve">Incremental margin data is the most common gap — client finance teams rarely maintain matched non-member comparisons. Breakage estimates often rely on assumptions rather than actuarial models; note the basis.</w:t>
      </w:r>
    </w:p>
    <w:p>
      <w:pPr>
        <w:pBdr>
          <w:bottom w:val="single" w:color="1C3461" w:sz="5" w:space="4"/>
        </w:pBdr>
        <w:spacing w:after="100" w:before="260"/>
      </w:pPr>
      <w:r>
        <w:rPr>
          <w:rFonts w:ascii="Arial" w:cs="Arial" w:eastAsia="Arial" w:hAnsi="Arial"/>
          <w:b/>
          <w:bCs/>
          <w:color w:val="1C3461"/>
          <w:sz w:val="23"/>
          <w:szCs w:val="23"/>
        </w:rPr>
        <w:t xml:space="preserve">Dimension 3 — Data Infrastructure</w:t>
      </w:r>
    </w:p>
    <w:p>
      <w:pPr>
        <w:spacing w:after="60"/>
      </w:pPr>
    </w:p>
    <w:p>
      <w:pPr>
        <w:spacing w:after="100"/>
      </w:pPr>
    </w:p>
    <w:p>
      <w:pPr>
        <w:spacing w:after="140"/>
      </w:pPr>
      <w:r>
        <w:rPr>
          <w:rFonts w:ascii="Arial" w:cs="Arial" w:eastAsia="Arial" w:hAnsi="Arial"/>
          <w:b/>
          <w:bCs/>
          <w:color w:val="555555"/>
          <w:sz w:val="20"/>
          <w:szCs w:val="20"/>
        </w:rPr>
        <w:t xml:space="preserve">Definition:  </w:t>
      </w:r>
      <w:r>
        <w:rPr>
          <w:rFonts w:ascii="Arial" w:cs="Arial" w:eastAsia="Arial" w:hAnsi="Arial"/>
          <w:color w:val="333333"/>
          <w:sz w:val="20"/>
          <w:szCs w:val="20"/>
        </w:rPr>
        <w:t xml:space="preserve">Data infrastructure covers what the programme captures at each transaction, how that data is stored and integrated across systems, and what the programme can operationally do with it — segmentation, targeting, personalisation, and insight generation.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60"/>
        <w:gridCol w:w="3800"/>
        <w:gridCol w:w="3600"/>
      </w:tblGrid>
      <w:tr>
        <w:tc>
          <w:tcPr>
            <w:tcW w:type="dxa" w:w="196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38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What to Measure</w:t>
            </w:r>
          </w:p>
        </w:tc>
        <w:tc>
          <w:tcPr>
            <w:tcW w:type="dxa" w:w="36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Guidance</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Transaction data capture</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Data fields recorded at each earn event: transaction value, location, timestamp, product category, channel. Note whether capture is at SKU level, category level, or transaction level only.</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SKU or category-level capture is meaningfully richer than transaction-level only. The difference determines what the data can support analytically.</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CRM segmentation capability</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Whether the platform supports rule-based or model-driven member segmentation. Note what segments, if any, are currently in use.</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Many legacy platforms support list extraction but not dynamic or predictive segmentation. Distinguish between what the system can do and what the client is currently doing with it.</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POS integration</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Method of transaction data transfer from point of sale to the loyalty CRM: real-time feed, daily batch, or manual upload. Coverage across the client's estate.</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Partial POS coverage or batch uploads create data lag and reliability gaps. Document coverage rate and upload frequency.</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Data freshness</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Average lag between transaction event and availability in the CRM for operational use.</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Lags above 24 hours materially limit operational use cases such as targeted messaging or real-time offer triggering.</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Cross-channel linkage</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Whether transactions across different channels or registration methods are unified into a single member record.</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Fragmented records are a common finding in programmes that have grown channel mix over time without integration investment.</w:t>
            </w:r>
          </w:p>
        </w:tc>
      </w:tr>
    </w:tbl>
    <w:p>
      <w:pPr>
        <w:spacing w:after="60"/>
      </w:pPr>
    </w:p>
    <w:p>
      <w:pPr>
        <w:spacing w:after="80"/>
      </w:pPr>
      <w:r>
        <w:rPr>
          <w:rFonts w:ascii="Arial" w:cs="Arial" w:eastAsia="Arial" w:hAnsi="Arial"/>
          <w:b/>
          <w:bCs/>
          <w:color w:val="555555"/>
          <w:sz w:val="20"/>
          <w:szCs w:val="20"/>
        </w:rPr>
        <w:t xml:space="preserve">Typical data sources:  </w:t>
      </w:r>
      <w:r>
        <w:rPr>
          <w:rFonts w:ascii="Arial" w:cs="Arial" w:eastAsia="Arial" w:hAnsi="Arial"/>
          <w:color w:val="333333"/>
          <w:sz w:val="20"/>
          <w:szCs w:val="20"/>
        </w:rPr>
        <w:t xml:space="preserve">CRM data dictionary; IT architecture documentation; technical team or IT lead inputs.</w:t>
      </w:r>
    </w:p>
    <w:p>
      <w:pPr>
        <w:spacing w:after="60"/>
      </w:pPr>
      <w:r>
        <w:rPr>
          <w:rFonts w:ascii="Arial" w:cs="Arial" w:eastAsia="Arial" w:hAnsi="Arial"/>
          <w:b/>
          <w:bCs/>
          <w:color w:val="555555"/>
          <w:sz w:val="20"/>
          <w:szCs w:val="20"/>
        </w:rPr>
        <w:t xml:space="preserve">Common gaps:  </w:t>
      </w:r>
      <w:r>
        <w:rPr>
          <w:rFonts w:ascii="Arial" w:cs="Arial" w:eastAsia="Arial" w:hAnsi="Arial"/>
          <w:color w:val="333333"/>
          <w:sz w:val="20"/>
          <w:szCs w:val="20"/>
        </w:rPr>
        <w:t xml:space="preserve">Data dictionaries are frequently out of date. IT teams may describe architecture as designed rather than as currently operating. Where possible, validate documentation claims against actual data extracts.</w:t>
      </w:r>
    </w:p>
    <w:p>
      <w:pPr>
        <w:pBdr>
          <w:bottom w:val="single" w:color="1C3461" w:sz="5" w:space="4"/>
        </w:pBdr>
        <w:spacing w:after="100" w:before="260"/>
      </w:pPr>
      <w:r>
        <w:rPr>
          <w:rFonts w:ascii="Arial" w:cs="Arial" w:eastAsia="Arial" w:hAnsi="Arial"/>
          <w:b/>
          <w:bCs/>
          <w:color w:val="1C3461"/>
          <w:sz w:val="23"/>
          <w:szCs w:val="23"/>
        </w:rPr>
        <w:t xml:space="preserve">Dimension 4 — Proposition</w:t>
      </w:r>
    </w:p>
    <w:p>
      <w:pPr>
        <w:spacing w:after="140"/>
      </w:pPr>
      <w:r>
        <w:rPr>
          <w:rFonts w:ascii="Arial" w:cs="Arial" w:eastAsia="Arial" w:hAnsi="Arial"/>
          <w:b/>
          <w:bCs/>
          <w:color w:val="555555"/>
          <w:sz w:val="20"/>
          <w:szCs w:val="20"/>
        </w:rPr>
        <w:t xml:space="preserve">Definition:  </w:t>
      </w:r>
      <w:r>
        <w:rPr>
          <w:rFonts w:ascii="Arial" w:cs="Arial" w:eastAsia="Arial" w:hAnsi="Arial"/>
          <w:color w:val="333333"/>
          <w:sz w:val="20"/>
          <w:szCs w:val="20"/>
        </w:rPr>
        <w:t xml:space="preserve">Proposition covers the member-facing earn and redemption experience — how attractive the programme is to a typical member, how long it takes to reach first value, and whether the redemption options are genuinely useful. A programme with mechanically sound economics but a poor proposition will underperform on both reach and engagement over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960"/>
        <w:gridCol w:w="3800"/>
        <w:gridCol w:w="3600"/>
      </w:tblGrid>
      <w:tr>
        <w:tc>
          <w:tcPr>
            <w:tcW w:type="dxa" w:w="196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38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What to Measure</w:t>
            </w:r>
          </w:p>
        </w:tc>
        <w:tc>
          <w:tcPr>
            <w:tcW w:type="dxa" w:w="3600"/>
            <w:tcBorders>
              <w:top w:val="none" w:color="FFFFFF" w:sz="0"/>
              <w:left w:val="none" w:color="FFFFFF" w:sz="0"/>
              <w:bottom w:val="none" w:color="FFFFFF" w:sz="0"/>
              <w:right w:val="none" w:color="FFFFFF" w:sz="0"/>
            </w:tcBorders>
            <w:shd w:fill="1C3461" w:val="clear"/>
            <w:tcMar>
              <w:top w:type="dxa" w:w="80"/>
              <w:left w:type="dxa" w:w="120"/>
              <w:bottom w:type="dxa" w:w="80"/>
              <w:right w:type="dxa" w:w="80"/>
            </w:tcMar>
          </w:tcPr>
          <w:p>
            <w:r>
              <w:rPr>
                <w:rFonts w:ascii="Arial" w:cs="Arial" w:eastAsia="Arial" w:hAnsi="Arial"/>
                <w:b/>
                <w:bCs/>
                <w:color w:val="FFFFFF"/>
                <w:sz w:val="19"/>
                <w:szCs w:val="19"/>
              </w:rPr>
              <w:t xml:space="preserve">Guidance</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Earn rate</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Points issued per unit of qualifying spend or activity. Express as an effective earn rate per monetary unit for cross-programme comparability.</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Absolute earn rates are less meaningful than effective earn rates. Normalise to a common unit before comparing across programmes.</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Time to first redemption</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Average time or number of transactions from enrolment to the member's first redemption event.</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Long time-to-first-value is a structural engagement barrier. High time-to-redemption combined with high lapse rates is a clear proposition signal.</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Redemption rate</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Share of issued points redeemed within a defined period, typically 12 to 24 months from issuance.</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Low redemption rates may indicate breakage opportunity or proposition weakness. Distinguish between the two — they have different strategic implications.</w:t>
            </w:r>
          </w:p>
        </w:tc>
      </w:tr>
      <w:tr>
        <w:tc>
          <w:tcPr>
            <w:tcW w:type="dxa" w:w="19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Members with redemption</w:t>
            </w:r>
          </w:p>
        </w:tc>
        <w:tc>
          <w:tcPr>
            <w:tcW w:type="dxa" w:w="38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Share of active members who have completed at least one redemption in their programme lifetime.</w:t>
            </w:r>
          </w:p>
        </w:tc>
        <w:tc>
          <w:tcPr>
            <w:tcW w:type="dxa" w:w="36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A low share signals the proposition is not converting engagement into perceived value. This is a more telling metric than aggregate redemption volume.</w:t>
            </w:r>
          </w:p>
        </w:tc>
      </w:tr>
      <w:tr>
        <w:tc>
          <w:tcPr>
            <w:tcW w:type="dxa" w:w="196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bCs/>
                <w:color w:val="333333"/>
                <w:sz w:val="19"/>
                <w:szCs w:val="19"/>
              </w:rPr>
              <w:t xml:space="preserve">Partner breadth and quality</w:t>
            </w:r>
          </w:p>
        </w:tc>
        <w:tc>
          <w:tcPr>
            <w:tcW w:type="dxa" w:w="38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Number and category of earn and redemption partners. Assess relevance to the member base, not just partner count.</w:t>
            </w:r>
          </w:p>
        </w:tc>
        <w:tc>
          <w:tcPr>
            <w:tcW w:type="dxa" w:w="3600"/>
            <w:tcBorders>
              <w:top w:val="none" w:color="FFFFFF" w:sz="0"/>
              <w:left w:val="none" w:color="FFFFFF" w:sz="0"/>
              <w:bottom w:val="none" w:color="FFFFFF" w:sz="0"/>
              <w:right w:val="none" w:color="FFFFFF" w:sz="0"/>
            </w:tcBorders>
            <w:shd w:fill="F0F3F8" w:val="clear"/>
            <w:tcMar>
              <w:top w:type="dxa" w:w="72"/>
              <w:left w:type="dxa" w:w="120"/>
              <w:bottom w:type="dxa" w:w="72"/>
              <w:right w:type="dxa" w:w="80"/>
            </w:tcMar>
          </w:tcPr>
          <w:p>
            <w:r>
              <w:rPr>
                <w:rFonts w:ascii="Arial" w:cs="Arial" w:eastAsia="Arial" w:hAnsi="Arial"/>
                <w:b w:val="false"/>
                <w:bCs w:val="false"/>
                <w:color w:val="333333"/>
                <w:sz w:val="19"/>
                <w:szCs w:val="19"/>
              </w:rPr>
              <w:t xml:space="preserve">A single high-relevance partner may deliver more proposition value than a long list of marginal ones. Assess quality alongside quantity.</w:t>
            </w:r>
          </w:p>
        </w:tc>
      </w:tr>
    </w:tbl>
    <w:p>
      <w:pPr>
        <w:spacing w:after="60"/>
      </w:pPr>
    </w:p>
    <w:p>
      <w:pPr>
        <w:spacing w:after="80"/>
      </w:pPr>
      <w:r>
        <w:rPr>
          <w:rFonts w:ascii="Arial" w:cs="Arial" w:eastAsia="Arial" w:hAnsi="Arial"/>
          <w:b/>
          <w:bCs/>
          <w:color w:val="555555"/>
          <w:sz w:val="20"/>
          <w:szCs w:val="20"/>
        </w:rPr>
        <w:t xml:space="preserve">Typical data sources:  </w:t>
      </w:r>
      <w:r>
        <w:rPr>
          <w:rFonts w:ascii="Arial" w:cs="Arial" w:eastAsia="Arial" w:hAnsi="Arial"/>
          <w:color w:val="333333"/>
          <w:sz w:val="20"/>
          <w:szCs w:val="20"/>
        </w:rPr>
        <w:t xml:space="preserve">Programme rules documentation; points ledger; CRM; partner agreements; member survey data where available.</w:t>
      </w:r>
    </w:p>
    <w:p>
      <w:pPr>
        <w:spacing w:after="60"/>
      </w:pPr>
      <w:r>
        <w:rPr>
          <w:rFonts w:ascii="Arial" w:cs="Arial" w:eastAsia="Arial" w:hAnsi="Arial"/>
          <w:b/>
          <w:bCs/>
          <w:color w:val="555555"/>
          <w:sz w:val="20"/>
          <w:szCs w:val="20"/>
        </w:rPr>
        <w:t xml:space="preserve">Common gaps:  </w:t>
      </w:r>
      <w:r>
        <w:rPr>
          <w:rFonts w:ascii="Arial" w:cs="Arial" w:eastAsia="Arial" w:hAnsi="Arial"/>
          <w:color w:val="333333"/>
          <w:sz w:val="20"/>
          <w:szCs w:val="20"/>
        </w:rPr>
        <w:t xml:space="preserve">Member perception data (surveys, NPS) is rarely available. External benchmark data on earn rates and redemption attractiveness requires separate research sourcing. Note both as gaps where applicable.</w:t>
      </w:r>
    </w:p>
    <w:p>
      <w:pPr>
        <w:pBdr>
          <w:bottom w:val="single" w:color="1C3461" w:sz="5" w:space="4"/>
        </w:pBdr>
        <w:spacing w:after="100" w:before="260"/>
      </w:pPr>
      <w:r>
        <w:rPr>
          <w:rFonts w:ascii="Arial" w:cs="Arial" w:eastAsia="Arial" w:hAnsi="Arial"/>
          <w:b/>
          <w:bCs/>
          <w:color w:val="1C3461"/>
          <w:sz w:val="23"/>
          <w:szCs w:val="23"/>
        </w:rPr>
        <w:t xml:space="preserve">Adapting the Framework to Context</w:t>
      </w:r>
    </w:p>
    <w:p>
      <w:pPr>
        <w:spacing w:after="160"/>
      </w:pPr>
      <w:r>
        <w:rPr>
          <w:rFonts w:ascii="Arial" w:cs="Arial" w:eastAsia="Arial" w:hAnsi="Arial"/>
          <w:color w:val="222222"/>
          <w:sz w:val="21"/>
          <w:szCs w:val="21"/>
        </w:rPr>
        <w:t xml:space="preserve">The four dimensions apply across programme types, but measurement criteria and their relative weight will vary by context. Do not apply the standard criteria list mechanically — adapt it to the programme in front of you and document any departures in the assessment frame.</w:t>
      </w:r>
    </w:p>
    <w:p>
      <w:pPr>
        <w:spacing w:after="60"/>
      </w:pPr>
    </w:p>
    <w:p>
      <w:pPr>
        <w:spacing w:after="120"/>
      </w:pPr>
      <w:r>
        <w:rPr>
          <w:rFonts w:ascii="Arial" w:cs="Arial" w:eastAsia="Arial" w:hAnsi="Arial"/>
          <w:b/>
          <w:bCs/>
          <w:color w:val="555555"/>
          <w:sz w:val="20"/>
          <w:szCs w:val="20"/>
        </w:rPr>
        <w:t xml:space="preserve">Card-based vs. app-based programmes:  </w:t>
      </w:r>
      <w:r>
        <w:rPr>
          <w:rFonts w:ascii="Arial" w:cs="Arial" w:eastAsia="Arial" w:hAnsi="Arial"/>
          <w:color w:val="333333"/>
          <w:sz w:val="20"/>
          <w:szCs w:val="20"/>
        </w:rPr>
        <w:t xml:space="preserve">App programmes generate richer per-transaction data and typically warrant additional digital engagement criteria within Reach and Data Infrastructure. Card-based or phone-registered programmes have simpler data capture and more frequent cross-channel linkage gaps.</w:t>
      </w:r>
    </w:p>
    <w:p>
      <w:pPr>
        <w:spacing w:after="120"/>
      </w:pPr>
      <w:r>
        <w:rPr>
          <w:rFonts w:ascii="Arial" w:cs="Arial" w:eastAsia="Arial" w:hAnsi="Arial"/>
          <w:b/>
          <w:bCs/>
          <w:color w:val="555555"/>
          <w:sz w:val="20"/>
          <w:szCs w:val="20"/>
        </w:rPr>
        <w:t xml:space="preserve">Standalone vs. coalition programmes:  </w:t>
      </w:r>
      <w:r>
        <w:rPr>
          <w:rFonts w:ascii="Arial" w:cs="Arial" w:eastAsia="Arial" w:hAnsi="Arial"/>
          <w:color w:val="333333"/>
          <w:sz w:val="20"/>
          <w:szCs w:val="20"/>
        </w:rPr>
        <w:t xml:space="preserve">Coalition programmes require additional partner ecosystem criteria within Economics and Proposition. The earn/burn split between own and partner activity is a key structural signal not present in standalone programmes.</w:t>
      </w:r>
    </w:p>
    <w:p>
      <w:pPr>
        <w:spacing w:after="80"/>
      </w:pPr>
      <w:r>
        <w:rPr>
          <w:rFonts w:ascii="Arial" w:cs="Arial" w:eastAsia="Arial" w:hAnsi="Arial"/>
          <w:b/>
          <w:bCs/>
          <w:color w:val="555555"/>
          <w:sz w:val="20"/>
          <w:szCs w:val="20"/>
        </w:rPr>
        <w:t xml:space="preserve">Nascent vs. mature programmes:  </w:t>
      </w:r>
      <w:r>
        <w:rPr>
          <w:rFonts w:ascii="Arial" w:cs="Arial" w:eastAsia="Arial" w:hAnsi="Arial"/>
          <w:color w:val="333333"/>
          <w:sz w:val="20"/>
          <w:szCs w:val="20"/>
        </w:rPr>
        <w:t xml:space="preserve">Programmes under three years old may lack historical trend data; weight structural design criteria over performance metrics. Programmes over eight years old frequently have legacy infrastructure and accumulated liability as central issues — both Data Infrastructure and Economics warrant closer scrutiny.</w:t>
      </w:r>
    </w:p>
    <w:p>
      <w:pPr>
        <w:pBdr>
          <w:bottom w:val="single" w:color="CCCCCC" w:sz="4" w:space="1"/>
        </w:pBdr>
        <w:spacing w:after="120" w:before="60"/>
      </w:pPr>
    </w:p>
    <w:p>
      <w:pPr>
        <w:spacing w:after="60"/>
      </w:pPr>
      <w:r>
        <w:rPr>
          <w:rFonts w:ascii="Arial" w:cs="Arial" w:eastAsia="Arial" w:hAnsi="Arial"/>
          <w:i/>
          <w:iCs/>
          <w:color w:val="555555"/>
          <w:sz w:val="19"/>
          <w:szCs w:val="19"/>
        </w:rPr>
        <w:t xml:space="preserve">Where a programme characteristic creates a material assessment need that falls outside the standard four dimensions, document the addition and its rationale in the assessment frame before proceeding.</w:t>
      </w:r>
    </w:p>
    <w:p>
      <w:pPr>
        <w:spacing w:after="120"/>
      </w:pPr>
    </w:p>
    <w:p>
      <w:pPr>
        <w:pBdr>
          <w:top w:val="single" w:color="CCCCCC" w:sz="4" w:space="4"/>
        </w:pBdr>
        <w:spacing w:after="8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Arial" w:cs="Arial" w:eastAsia="Arial" w:hAnsi="Arial"/>
                <w:b/>
                <w:bCs/>
                <w:color w:val="555555"/>
                <w:sz w:val="18"/>
                <w:szCs w:val="18"/>
              </w:rPr>
              <w:t xml:space="preserve">Aurelian &amp; Co.</w:t>
            </w:r>
          </w:p>
          <w:p>
            <w:r>
              <w:rPr>
                <w:rFonts w:ascii="Arial" w:cs="Arial" w:eastAsia="Arial" w:hAnsi="Arial"/>
                <w:color w:val="888888"/>
                <w:sz w:val="17"/>
                <w:szCs w:val="17"/>
              </w:rPr>
              <w:t xml:space="preserve">Loyalty &amp; Customer Practice</w:t>
            </w:r>
          </w:p>
        </w:tc>
        <w:tc>
          <w:tcPr>
            <w:tcW w:type="dxa" w:w="4680"/>
            <w:tcBorders>
              <w:top w:val="none" w:color="FFFFFF" w:sz="0"/>
              <w:left w:val="none" w:color="FFFFFF" w:sz="0"/>
              <w:bottom w:val="none" w:color="FFFFFF" w:sz="0"/>
              <w:right w:val="none" w:color="FFFFFF" w:sz="0"/>
            </w:tcBorders>
            <w:tcMar>
              <w:top w:type="dxa" w:w="20"/>
              <w:left w:type="dxa" w:w="0"/>
              <w:bottom w:type="dxa" w:w="20"/>
              <w:right w:type="dxa" w:w="0"/>
            </w:tcMar>
          </w:tcPr>
          <w:p>
            <w:pPr>
              <w:jc w:val="right"/>
            </w:pPr>
            <w:r>
              <w:rPr>
                <w:rFonts w:ascii="Arial" w:cs="Arial" w:eastAsia="Arial" w:hAnsi="Arial"/>
                <w:color w:val="888888"/>
                <w:sz w:val="17"/>
                <w:szCs w:val="17"/>
              </w:rPr>
              <w:t xml:space="preserve">Internal Reference  |  v2.1</w:t>
            </w:r>
          </w:p>
          <w:p>
            <w:pPr>
              <w:jc w:val="right"/>
            </w:pPr>
            <w:r>
              <w:rPr>
                <w:rFonts w:ascii="Arial" w:cs="Arial" w:eastAsia="Arial" w:hAnsi="Arial"/>
                <w:color w:val="888888"/>
                <w:sz w:val="17"/>
                <w:szCs w:val="17"/>
              </w:rPr>
              <w:t xml:space="preserve">Q3 2023</w:t>
            </w:r>
          </w:p>
        </w:tc>
      </w:tr>
    </w:tbl>
    <w:sectPr>
      <w:footerReference w:type="default" r:id="rId7"/>
      <w:pgSz w:w="12240" w:h="15840" w:orient="portrait"/>
      <w:pgMar w:top="1134" w:right="1260" w:bottom="1134"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7"/>
        <w:szCs w:val="17"/>
      </w:rPr>
      <w:t xml:space="preserve">Aurelian &amp; Co. — Internal Use Only  |  Loyalty &amp; Customer Practice  |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