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3A5C"/>
          <w:sz w:val="30"/>
          <w:szCs w:val="30"/>
        </w:rPr>
        <w:t xml:space="preserve">VANTAGE STRATEGY</w:t>
      </w:r>
    </w:p>
    <w:p>
      <w:pPr>
        <w:spacing w:after="20"/>
      </w:pPr>
      <w:r>
        <w:rPr>
          <w:rFonts w:ascii="Arial" w:cs="Arial" w:eastAsia="Arial" w:hAnsi="Arial"/>
          <w:i/>
          <w:iCs/>
          <w:color w:val="888888"/>
          <w:sz w:val="18"/>
          <w:szCs w:val="18"/>
        </w:rPr>
        <w:t xml:space="preserve">Confidential — For Client Use Only</w:t>
      </w:r>
    </w:p>
    <w:p>
      <w:pPr>
        <w:pBdr>
          <w:bottom w:val="single" w:color="CCCCCC" w:sz="4" w:space="1"/>
        </w:pBdr>
        <w:spacing w:after="180"/>
      </w:pPr>
    </w:p>
    <w:p>
      <w:pPr>
        <w:spacing w:after="60"/>
      </w:pPr>
      <w:r>
        <w:rPr>
          <w:rFonts w:ascii="Arial" w:cs="Arial" w:eastAsia="Arial" w:hAnsi="Arial"/>
          <w:b/>
          <w:bCs/>
          <w:color w:val="1A3A5C"/>
          <w:sz w:val="26"/>
          <w:szCs w:val="26"/>
        </w:rPr>
        <w:t xml:space="preserve">FreshRewards Current-State Assessment Frame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color w:val="555555"/>
                <w:sz w:val="19"/>
                <w:szCs w:val="19"/>
              </w:rPr>
              <w:t xml:space="preserve">Project Harvest  |  Loyalty Workstream</w:t>
            </w:r>
          </w:p>
        </w:tc>
        <w:tc>
          <w:tcPr>
            <w:tcW w:type="dxa" w:w="468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color w:val="555555"/>
                <w:sz w:val="19"/>
                <w:szCs w:val="19"/>
              </w:rPr>
              <w:t xml:space="preserve">June 2022  |  Version 1.0</w:t>
            </w:r>
          </w:p>
        </w:tc>
      </w:tr>
    </w:tbl>
    <w:p>
      <w:pPr>
        <w:pBdr>
          <w:bottom w:val="single" w:color="CCCCCC" w:sz="4" w:space="1"/>
        </w:pBdr>
        <w:spacing w:after="180"/>
      </w:pPr>
    </w:p>
    <w:p>
      <w:pPr>
        <w:pBdr>
          <w:bottom w:val="single" w:color="1A3A5C" w:sz="6" w:space="4"/>
        </w:pBdr>
        <w:spacing w:after="120" w:before="280"/>
      </w:pPr>
      <w:r>
        <w:rPr>
          <w:rFonts w:ascii="Arial" w:cs="Arial" w:eastAsia="Arial" w:hAnsi="Arial"/>
          <w:b/>
          <w:bCs/>
          <w:color w:val="1A3A5C"/>
          <w:sz w:val="23"/>
          <w:szCs w:val="23"/>
        </w:rPr>
        <w:t xml:space="preserve">1.  Purpose</w:t>
      </w:r>
    </w:p>
    <w:p>
      <w:pPr>
        <w:spacing w:after="160"/>
      </w:pPr>
      <w:r>
        <w:rPr>
          <w:rFonts w:ascii="Arial" w:cs="Arial" w:eastAsia="Arial" w:hAnsi="Arial"/>
          <w:color w:val="222222"/>
          <w:sz w:val="21"/>
          <w:szCs w:val="21"/>
        </w:rPr>
        <w:t xml:space="preserve">This document defines the assessment frame for FreshRewards, FreshMart's customer loyalty programme. It establishes the dimensions, measurement criteria, data sources, and output format that will structure the current-state assessment. It does not contain assessment findings; those will be produced separately once the frame has been reviewed and approved by the engagement lead.</w:t>
      </w:r>
    </w:p>
    <w:p>
      <w:pPr>
        <w:pBdr>
          <w:bottom w:val="single" w:color="1A3A5C" w:sz="6" w:space="4"/>
        </w:pBdr>
        <w:spacing w:after="120" w:before="280"/>
      </w:pPr>
      <w:r>
        <w:rPr>
          <w:rFonts w:ascii="Arial" w:cs="Arial" w:eastAsia="Arial" w:hAnsi="Arial"/>
          <w:b/>
          <w:bCs/>
          <w:color w:val="1A3A5C"/>
          <w:sz w:val="23"/>
          <w:szCs w:val="23"/>
        </w:rPr>
        <w:t xml:space="preserve">2.  Engagement Context</w:t>
      </w:r>
    </w:p>
    <w:p>
      <w:pPr>
        <w:spacing w:after="160"/>
      </w:pPr>
      <w:r>
        <w:rPr>
          <w:rFonts w:ascii="Arial" w:cs="Arial" w:eastAsia="Arial" w:hAnsi="Arial"/>
          <w:color w:val="222222"/>
          <w:sz w:val="21"/>
          <w:szCs w:val="21"/>
        </w:rPr>
        <w:t xml:space="preserve">The FreshRewards assessment forms part of Phase 1 of Project Harvest, which covers FreshMart's customer engagement strategy across digital and physical channels. The loyalty workstream was scoped in response to the client's objective to evaluate programme performance ahead of a planned platform refresh. The current-state assessment will provide the analytical foundation for strategic recommendations developed in Phase 2.</w:t>
      </w:r>
    </w:p>
    <w:p>
      <w:pPr>
        <w:pBdr>
          <w:bottom w:val="single" w:color="1A3A5C" w:sz="6" w:space="4"/>
        </w:pBdr>
        <w:spacing w:after="120" w:before="280"/>
      </w:pPr>
      <w:r>
        <w:rPr>
          <w:rFonts w:ascii="Arial" w:cs="Arial" w:eastAsia="Arial" w:hAnsi="Arial"/>
          <w:b/>
          <w:bCs/>
          <w:color w:val="1A3A5C"/>
          <w:sz w:val="23"/>
          <w:szCs w:val="23"/>
        </w:rPr>
        <w:t xml:space="preserve">3.  Scope</w:t>
      </w:r>
    </w:p>
    <w:p>
      <w:pPr>
        <w:spacing w:after="120"/>
      </w:pPr>
      <w:r>
        <w:rPr>
          <w:rFonts w:ascii="Arial" w:cs="Arial" w:eastAsia="Arial" w:hAnsi="Arial"/>
          <w:b/>
          <w:bCs/>
          <w:color w:val="222222"/>
          <w:sz w:val="21"/>
          <w:szCs w:val="21"/>
        </w:rPr>
        <w:t xml:space="preserve">In scope:  </w:t>
      </w:r>
      <w:r>
        <w:rPr>
          <w:rFonts w:ascii="Arial" w:cs="Arial" w:eastAsia="Arial" w:hAnsi="Arial"/>
          <w:color w:val="222222"/>
          <w:sz w:val="21"/>
          <w:szCs w:val="21"/>
        </w:rPr>
        <w:t xml:space="preserve">FreshRewards programme as currently operated, including app-based and in-store earn channels; current partner earn and redemption arrangements; programme economics as reported in internal systems; data and personalisation infrastructure supporting the programme.</w:t>
      </w:r>
    </w:p>
    <w:p>
      <w:pPr>
        <w:spacing w:after="60"/>
      </w:pPr>
      <w:r>
        <w:rPr>
          <w:rFonts w:ascii="Arial" w:cs="Arial" w:eastAsia="Arial" w:hAnsi="Arial"/>
          <w:b/>
          <w:bCs/>
          <w:color w:val="222222"/>
          <w:sz w:val="21"/>
          <w:szCs w:val="21"/>
        </w:rPr>
        <w:t xml:space="preserve">Out of scope:  </w:t>
      </w:r>
      <w:r>
        <w:rPr>
          <w:rFonts w:ascii="Arial" w:cs="Arial" w:eastAsia="Arial" w:hAnsi="Arial"/>
          <w:color w:val="222222"/>
          <w:sz w:val="21"/>
          <w:szCs w:val="21"/>
        </w:rPr>
        <w:t xml:space="preserve">FreshMart's broader CRM or digital marketing capability; benchmarking against competitor programmes (covered under a separate workstream); programme redesign or strategic recommendations (Phase 2 deliverable).</w:t>
      </w:r>
    </w:p>
    <w:p>
      <w:pPr>
        <w:pBdr>
          <w:bottom w:val="single" w:color="1A3A5C" w:sz="6" w:space="4"/>
        </w:pBdr>
        <w:spacing w:after="120" w:before="280"/>
      </w:pPr>
      <w:r>
        <w:rPr>
          <w:rFonts w:ascii="Arial" w:cs="Arial" w:eastAsia="Arial" w:hAnsi="Arial"/>
          <w:b/>
          <w:bCs/>
          <w:color w:val="1A3A5C"/>
          <w:sz w:val="23"/>
          <w:szCs w:val="23"/>
        </w:rPr>
        <w:t xml:space="preserve">4.  Assessment Dimensions</w:t>
      </w:r>
    </w:p>
    <w:p>
      <w:pPr>
        <w:spacing w:after="80" w:before="220"/>
      </w:pPr>
      <w:r>
        <w:rPr>
          <w:rFonts w:ascii="Arial" w:cs="Arial" w:eastAsia="Arial" w:hAnsi="Arial"/>
          <w:b/>
          <w:bCs/>
          <w:color w:val="1A3A5C"/>
          <w:sz w:val="22"/>
          <w:szCs w:val="22"/>
        </w:rPr>
        <w:t xml:space="preserve">Dimension 1 — Reach &amp; Activation</w:t>
      </w:r>
    </w:p>
    <w:p>
      <w:pPr>
        <w:spacing w:after="120"/>
      </w:pPr>
      <w:r>
        <w:rPr>
          <w:rFonts w:ascii="Arial" w:cs="Arial" w:eastAsia="Arial" w:hAnsi="Arial"/>
          <w:b/>
          <w:bCs/>
          <w:color w:val="222222"/>
          <w:sz w:val="21"/>
          <w:szCs w:val="21"/>
        </w:rPr>
        <w:t xml:space="preserve">What we are assessing:  </w:t>
      </w:r>
      <w:r>
        <w:rPr>
          <w:rFonts w:ascii="Arial" w:cs="Arial" w:eastAsia="Arial" w:hAnsi="Arial"/>
          <w:color w:val="222222"/>
          <w:sz w:val="21"/>
          <w:szCs w:val="21"/>
        </w:rPr>
        <w:t xml:space="preserve">The size and engagement depth of the FreshRewards member base, including the proportion of registered members who are genuinely active and the rate at which the programme is acquiring new members.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200"/>
        <w:gridCol w:w="2160"/>
      </w:tblGrid>
      <w:tr>
        <w:tc>
          <w:tcPr>
            <w:tcW w:type="dxa" w:w="20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52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Metric Definition</w:t>
            </w:r>
          </w:p>
        </w:tc>
        <w:tc>
          <w:tcPr>
            <w:tcW w:type="dxa" w:w="216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Data Source</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Total registered members</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Count of all accounts in the programme database, including inactive accounts.</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FreshRewards CRM export</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Active member rate</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Share of registered members with at least one qualifying transaction in the last 12 months.</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Transaction log + CRM</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New enrollment rate</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Net new registrations in the last 12 months compared against the prior 12-month period; breakdown by channel.</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Enrollment records</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Registration channel mix</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Share of active members registered via app download, in-store card issuance, or web registration.</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Enrollment records</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Transaction frequency</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Average number of qualifying transactions per active member per year.</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POS transaction log</w:t>
            </w:r>
          </w:p>
        </w:tc>
      </w:tr>
    </w:tbl>
    <w:p>
      <w:pPr>
        <w:spacing w:after="60"/>
      </w:pPr>
      <w:r>
        <w:rPr>
          <w:rFonts w:ascii="Arial" w:cs="Arial" w:eastAsia="Arial" w:hAnsi="Arial"/>
          <w:b/>
          <w:bCs/>
          <w:color w:val="222222"/>
          <w:sz w:val="21"/>
          <w:szCs w:val="21"/>
        </w:rPr>
        <w:t xml:space="preserve">Output:  </w:t>
      </w:r>
      <w:r>
        <w:rPr>
          <w:rFonts w:ascii="Arial" w:cs="Arial" w:eastAsia="Arial" w:hAnsi="Arial"/>
          <w:color w:val="222222"/>
          <w:sz w:val="21"/>
          <w:szCs w:val="21"/>
        </w:rPr>
        <w:t xml:space="preserve">Reach and activation scorecard covering the five criteria above. Trend data included where available; gaps noted explicitly.</w:t>
      </w:r>
    </w:p>
    <w:p>
      <w:pPr>
        <w:spacing w:after="80"/>
      </w:pPr>
    </w:p>
    <w:p>
      <w:pPr>
        <w:spacing w:after="80" w:before="220"/>
      </w:pPr>
      <w:r>
        <w:rPr>
          <w:rFonts w:ascii="Arial" w:cs="Arial" w:eastAsia="Arial" w:hAnsi="Arial"/>
          <w:b/>
          <w:bCs/>
          <w:color w:val="1A3A5C"/>
          <w:sz w:val="22"/>
          <w:szCs w:val="22"/>
        </w:rPr>
        <w:t xml:space="preserve">Dimension 2 — Digital Engagement</w:t>
      </w:r>
    </w:p>
    <w:p>
      <w:pPr>
        <w:spacing w:after="120"/>
      </w:pPr>
      <w:r>
        <w:rPr>
          <w:rFonts w:ascii="Arial" w:cs="Arial" w:eastAsia="Arial" w:hAnsi="Arial"/>
          <w:b/>
          <w:bCs/>
          <w:color w:val="222222"/>
          <w:sz w:val="21"/>
          <w:szCs w:val="21"/>
        </w:rPr>
        <w:t xml:space="preserve">What we are assessing:  </w:t>
      </w:r>
      <w:r>
        <w:rPr>
          <w:rFonts w:ascii="Arial" w:cs="Arial" w:eastAsia="Arial" w:hAnsi="Arial"/>
          <w:color w:val="222222"/>
          <w:sz w:val="21"/>
          <w:szCs w:val="21"/>
        </w:rPr>
        <w:t xml:space="preserve">Depth of member engagement through the FreshRewards app, including adoption rates, usage frequency, and the share of transactions initiated via the digital channel.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200"/>
        <w:gridCol w:w="2160"/>
      </w:tblGrid>
      <w:tr>
        <w:tc>
          <w:tcPr>
            <w:tcW w:type="dxa" w:w="20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52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Metric Definition</w:t>
            </w:r>
          </w:p>
        </w:tc>
        <w:tc>
          <w:tcPr>
            <w:tcW w:type="dxa" w:w="216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Data Source</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App adoption rate</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Share of active members with the FreshRewards app installed and at least one session in the last 12 months.</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App analytics platform</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MAU/DAU ratio</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Ratio of monthly to daily active app users; proxy for depth of ongoing engagement.</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App analytics platform</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Push notification opt-in rate</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Share of app users who have opted into push notifications.</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App analytics platform</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App-based transaction share</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Share of total qualifying transactions initiated via app versus card or phone number.</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POS log + app analytics</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Feature adoption</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Usage rates for key in-app features: digital loyalty card, offer redemption, points balance check.</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App analytics platform</w:t>
            </w:r>
          </w:p>
        </w:tc>
      </w:tr>
    </w:tbl>
    <w:p>
      <w:pPr>
        <w:spacing w:after="60"/>
      </w:pPr>
      <w:r>
        <w:rPr>
          <w:rFonts w:ascii="Arial" w:cs="Arial" w:eastAsia="Arial" w:hAnsi="Arial"/>
          <w:b/>
          <w:bCs/>
          <w:color w:val="222222"/>
          <w:sz w:val="21"/>
          <w:szCs w:val="21"/>
        </w:rPr>
        <w:t xml:space="preserve">Output:  </w:t>
      </w:r>
      <w:r>
        <w:rPr>
          <w:rFonts w:ascii="Arial" w:cs="Arial" w:eastAsia="Arial" w:hAnsi="Arial"/>
          <w:color w:val="222222"/>
          <w:sz w:val="21"/>
          <w:szCs w:val="21"/>
        </w:rPr>
        <w:t xml:space="preserve">Digital engagement dashboard covering the five criteria above. Where app analytics are unavailable at required granularity, gaps to be noted.</w:t>
      </w:r>
    </w:p>
    <w:p>
      <w:pPr>
        <w:spacing w:after="80"/>
      </w:pPr>
    </w:p>
    <w:p>
      <w:pPr>
        <w:spacing w:after="80" w:before="220"/>
      </w:pPr>
      <w:r>
        <w:rPr>
          <w:rFonts w:ascii="Arial" w:cs="Arial" w:eastAsia="Arial" w:hAnsi="Arial"/>
          <w:b/>
          <w:bCs/>
          <w:color w:val="1A3A5C"/>
          <w:sz w:val="22"/>
          <w:szCs w:val="22"/>
        </w:rPr>
        <w:t xml:space="preserve">Dimension 3 — Proposition &amp; Redemption</w:t>
      </w:r>
    </w:p>
    <w:p>
      <w:pPr>
        <w:spacing w:after="120"/>
      </w:pPr>
      <w:r>
        <w:rPr>
          <w:rFonts w:ascii="Arial" w:cs="Arial" w:eastAsia="Arial" w:hAnsi="Arial"/>
          <w:b/>
          <w:bCs/>
          <w:color w:val="222222"/>
          <w:sz w:val="21"/>
          <w:szCs w:val="21"/>
        </w:rPr>
        <w:t xml:space="preserve">What we are assessing:  </w:t>
      </w:r>
      <w:r>
        <w:rPr>
          <w:rFonts w:ascii="Arial" w:cs="Arial" w:eastAsia="Arial" w:hAnsi="Arial"/>
          <w:color w:val="222222"/>
          <w:sz w:val="21"/>
          <w:szCs w:val="21"/>
        </w:rPr>
        <w:t xml:space="preserve">Attractiveness of the FreshRewards earn and redemption proposition, including the rate at which members accumulate points and the frequency and breadth of redemption activity.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200"/>
        <w:gridCol w:w="2160"/>
      </w:tblGrid>
      <w:tr>
        <w:tc>
          <w:tcPr>
            <w:tcW w:type="dxa" w:w="20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52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Metric Definition</w:t>
            </w:r>
          </w:p>
        </w:tc>
        <w:tc>
          <w:tcPr>
            <w:tcW w:type="dxa" w:w="216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Data Source</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Earn rate</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Points issued per qualifying transaction; effective earn rate per dollar of eligible spend.</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Programme rules documentation</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Redemption catalogue breadth</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Number and category breakdown of available redemption options across own and partner rewards.</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Programme rules + partner agreements</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Redemption rate</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Share of issued points redeemed within 12 months of issuance.</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Points ledger</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Time to first redemption</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Average time from enrolment to first redemption event, in months.</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Transaction log + CRM</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Members with redemption</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Share of active members who have completed at least one redemption in their programme lifetime.</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Points ledger + CRM</w:t>
            </w:r>
          </w:p>
        </w:tc>
      </w:tr>
    </w:tbl>
    <w:p>
      <w:pPr>
        <w:spacing w:after="60"/>
      </w:pPr>
      <w:r>
        <w:rPr>
          <w:rFonts w:ascii="Arial" w:cs="Arial" w:eastAsia="Arial" w:hAnsi="Arial"/>
          <w:b/>
          <w:bCs/>
          <w:color w:val="222222"/>
          <w:sz w:val="21"/>
          <w:szCs w:val="21"/>
        </w:rPr>
        <w:t xml:space="preserve">Output:  </w:t>
      </w:r>
      <w:r>
        <w:rPr>
          <w:rFonts w:ascii="Arial" w:cs="Arial" w:eastAsia="Arial" w:hAnsi="Arial"/>
          <w:color w:val="222222"/>
          <w:sz w:val="21"/>
          <w:szCs w:val="21"/>
        </w:rPr>
        <w:t xml:space="preserve">Proposition and redemption scorecard covering the five criteria above.</w:t>
      </w:r>
    </w:p>
    <w:p>
      <w:r>
        <w:br w:type="page"/>
      </w:r>
    </w:p>
    <w:p>
      <w:pPr>
        <w:spacing w:after="80" w:before="220"/>
      </w:pPr>
      <w:r>
        <w:rPr>
          <w:rFonts w:ascii="Arial" w:cs="Arial" w:eastAsia="Arial" w:hAnsi="Arial"/>
          <w:b/>
          <w:bCs/>
          <w:color w:val="1A3A5C"/>
          <w:sz w:val="22"/>
          <w:szCs w:val="22"/>
        </w:rPr>
        <w:t xml:space="preserve">Dimension 4 — Partner Ecosystem</w:t>
      </w:r>
    </w:p>
    <w:p>
      <w:pPr>
        <w:spacing w:after="120"/>
      </w:pPr>
      <w:r>
        <w:rPr>
          <w:rFonts w:ascii="Arial" w:cs="Arial" w:eastAsia="Arial" w:hAnsi="Arial"/>
          <w:b/>
          <w:bCs/>
          <w:color w:val="222222"/>
          <w:sz w:val="21"/>
          <w:szCs w:val="21"/>
        </w:rPr>
        <w:t xml:space="preserve">What we are assessing:  </w:t>
      </w:r>
      <w:r>
        <w:rPr>
          <w:rFonts w:ascii="Arial" w:cs="Arial" w:eastAsia="Arial" w:hAnsi="Arial"/>
          <w:color w:val="222222"/>
          <w:sz w:val="21"/>
          <w:szCs w:val="21"/>
        </w:rPr>
        <w:t xml:space="preserve">Breadth and financial contribution of FreshRewards' earn and redemption partner network, including the structure of partner funding arrangements.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200"/>
        <w:gridCol w:w="2160"/>
      </w:tblGrid>
      <w:tr>
        <w:tc>
          <w:tcPr>
            <w:tcW w:type="dxa" w:w="20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52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Metric Definition</w:t>
            </w:r>
          </w:p>
        </w:tc>
        <w:tc>
          <w:tcPr>
            <w:tcW w:type="dxa" w:w="216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Data Source</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Partner count</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Number of active earn and redemption partners across all categories.</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Partner agreements</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Partner earn share</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Share of total points issued attributable to partner transactions versus FreshMart own-brand transactions.</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Points ledger by earn channel</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Partner funding rate</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Share of total programme economics funded by partners versus FreshMart.</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Partner agreements + programme P&amp;L</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Partner redemption share</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Share of total redemptions fulfilled via partner-funded rewards versus FreshMart rewards.</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Points ledger by redemption channel</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Key partner terms</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Tenure, upcoming renewal dates, and any exclusivity provisions for material partners.</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Partner agreements</w:t>
            </w:r>
          </w:p>
        </w:tc>
      </w:tr>
    </w:tbl>
    <w:p>
      <w:pPr>
        <w:spacing w:after="60"/>
      </w:pPr>
      <w:r>
        <w:rPr>
          <w:rFonts w:ascii="Arial" w:cs="Arial" w:eastAsia="Arial" w:hAnsi="Arial"/>
          <w:b/>
          <w:bCs/>
          <w:color w:val="222222"/>
          <w:sz w:val="21"/>
          <w:szCs w:val="21"/>
        </w:rPr>
        <w:t xml:space="preserve">Output:  </w:t>
      </w:r>
      <w:r>
        <w:rPr>
          <w:rFonts w:ascii="Arial" w:cs="Arial" w:eastAsia="Arial" w:hAnsi="Arial"/>
          <w:color w:val="222222"/>
          <w:sz w:val="21"/>
          <w:szCs w:val="21"/>
        </w:rPr>
        <w:t xml:space="preserve">Partner ecosystem map with earn and redemption contribution analysis. Financial terms noted at summary level; detailed contract review is out of scope.</w:t>
      </w:r>
    </w:p>
    <w:p>
      <w:pPr>
        <w:spacing w:after="80"/>
      </w:pPr>
    </w:p>
    <w:p>
      <w:pPr>
        <w:spacing w:after="80" w:before="220"/>
      </w:pPr>
      <w:r>
        <w:rPr>
          <w:rFonts w:ascii="Arial" w:cs="Arial" w:eastAsia="Arial" w:hAnsi="Arial"/>
          <w:b/>
          <w:bCs/>
          <w:color w:val="1A3A5C"/>
          <w:sz w:val="22"/>
          <w:szCs w:val="22"/>
        </w:rPr>
        <w:t xml:space="preserve">Dimension 5 — Economics</w:t>
      </w:r>
    </w:p>
    <w:p>
      <w:pPr>
        <w:spacing w:after="120"/>
      </w:pPr>
      <w:r>
        <w:rPr>
          <w:rFonts w:ascii="Arial" w:cs="Arial" w:eastAsia="Arial" w:hAnsi="Arial"/>
          <w:b/>
          <w:bCs/>
          <w:color w:val="222222"/>
          <w:sz w:val="21"/>
          <w:szCs w:val="21"/>
        </w:rPr>
        <w:t xml:space="preserve">What we are assessing:  </w:t>
      </w:r>
      <w:r>
        <w:rPr>
          <w:rFonts w:ascii="Arial" w:cs="Arial" w:eastAsia="Arial" w:hAnsi="Arial"/>
          <w:color w:val="222222"/>
          <w:sz w:val="21"/>
          <w:szCs w:val="21"/>
        </w:rPr>
        <w:t xml:space="preserve">The financial structure of the FreshRewards programme, including the cost of points issuance, breakage, programme liability, and available measures of programme return.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200"/>
        <w:gridCol w:w="2160"/>
      </w:tblGrid>
      <w:tr>
        <w:tc>
          <w:tcPr>
            <w:tcW w:type="dxa" w:w="20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52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Metric Definition</w:t>
            </w:r>
          </w:p>
        </w:tc>
        <w:tc>
          <w:tcPr>
            <w:tcW w:type="dxa" w:w="216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Data Source</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Cost per point issued</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Total programme operating cost divided by total points issued in the assessment period.</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Programme P&amp;L</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Breakage rate</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Share of issued points estimated never to be redeemed, based on points ledger and actuarial estimate.</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Points ledger + actuarial estimate</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Outstanding points liability</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Total unredeemed points expressed as their redemption cost equivalent at current rates.</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Points ledger</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Partner funding offset</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Partner revenue as a share of total programme operating cost.</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Programme P&amp;L</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Incremental basket lift</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Estimated incremental spend per transaction for loyalty members versus matched non-members, where data is available.</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POS data (may require finance input)</w:t>
            </w:r>
          </w:p>
        </w:tc>
      </w:tr>
    </w:tbl>
    <w:p>
      <w:pPr>
        <w:spacing w:after="60"/>
      </w:pPr>
      <w:r>
        <w:rPr>
          <w:rFonts w:ascii="Arial" w:cs="Arial" w:eastAsia="Arial" w:hAnsi="Arial"/>
          <w:b/>
          <w:bCs/>
          <w:color w:val="222222"/>
          <w:sz w:val="21"/>
          <w:szCs w:val="21"/>
        </w:rPr>
        <w:t xml:space="preserve">Output:  </w:t>
      </w:r>
      <w:r>
        <w:rPr>
          <w:rFonts w:ascii="Arial" w:cs="Arial" w:eastAsia="Arial" w:hAnsi="Arial"/>
          <w:color w:val="222222"/>
          <w:sz w:val="21"/>
          <w:szCs w:val="21"/>
        </w:rPr>
        <w:t xml:space="preserve">Programme economics summary. Incremental basket lift to be noted as a gap if matched non-member data is unavailable from the client finance team.</w:t>
      </w:r>
    </w:p>
    <w:p>
      <w:pPr>
        <w:spacing w:after="80"/>
      </w:pPr>
    </w:p>
    <w:p>
      <w:pPr>
        <w:spacing w:after="80" w:before="220"/>
      </w:pPr>
      <w:r>
        <w:rPr>
          <w:rFonts w:ascii="Arial" w:cs="Arial" w:eastAsia="Arial" w:hAnsi="Arial"/>
          <w:b/>
          <w:bCs/>
          <w:color w:val="1A3A5C"/>
          <w:sz w:val="22"/>
          <w:szCs w:val="22"/>
        </w:rPr>
        <w:t xml:space="preserve">Dimension 6 — Data &amp; Personalisation</w:t>
      </w:r>
    </w:p>
    <w:p>
      <w:pPr>
        <w:spacing w:after="120"/>
      </w:pPr>
      <w:r>
        <w:rPr>
          <w:rFonts w:ascii="Arial" w:cs="Arial" w:eastAsia="Arial" w:hAnsi="Arial"/>
          <w:b/>
          <w:bCs/>
          <w:color w:val="222222"/>
          <w:sz w:val="21"/>
          <w:szCs w:val="21"/>
        </w:rPr>
        <w:t xml:space="preserve">What we are assessing:  </w:t>
      </w:r>
      <w:r>
        <w:rPr>
          <w:rFonts w:ascii="Arial" w:cs="Arial" w:eastAsia="Arial" w:hAnsi="Arial"/>
          <w:color w:val="222222"/>
          <w:sz w:val="21"/>
          <w:szCs w:val="21"/>
        </w:rPr>
        <w:t xml:space="preserve">The capability of FreshRewards' data infrastructure to support member segmentation, targeted offer generation, and cross-channel insight.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200"/>
        <w:gridCol w:w="2160"/>
      </w:tblGrid>
      <w:tr>
        <w:tc>
          <w:tcPr>
            <w:tcW w:type="dxa" w:w="20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Criterion</w:t>
            </w:r>
          </w:p>
        </w:tc>
        <w:tc>
          <w:tcPr>
            <w:tcW w:type="dxa" w:w="52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Metric Definition</w:t>
            </w:r>
          </w:p>
        </w:tc>
        <w:tc>
          <w:tcPr>
            <w:tcW w:type="dxa" w:w="216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Data Source</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Transaction data captured</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Data fields recorded at each earn event: SKU level, basket size, channel, location, timestamp.</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CRM data dictionary</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Segmentation capability</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Whether the system supports rule-based or model-driven member segmentation; current segment definitions in use.</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CRM technical documentation</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Personalised offer capability</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Whether targeted offers can be generated and delivered to individual member segments.</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CRM + marketing platform</w:t>
            </w:r>
          </w:p>
        </w:tc>
      </w:tr>
      <w:tr>
        <w:tc>
          <w:tcPr>
            <w:tcW w:type="dxa" w:w="20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Cross-channel linkage</w:t>
            </w:r>
          </w:p>
        </w:tc>
        <w:tc>
          <w:tcPr>
            <w:tcW w:type="dxa" w:w="5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Whether in-store and app transactions are unified in a single member record.</w:t>
            </w:r>
          </w:p>
        </w:tc>
        <w:tc>
          <w:tcPr>
            <w:tcW w:type="dxa" w:w="21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color w:val="333333"/>
                <w:sz w:val="19"/>
                <w:szCs w:val="19"/>
              </w:rPr>
              <w:t xml:space="preserve">CRM data dictionary + IT</w:t>
            </w:r>
          </w:p>
        </w:tc>
      </w:tr>
      <w:tr>
        <w:tc>
          <w:tcPr>
            <w:tcW w:type="dxa" w:w="20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Data freshness</w:t>
            </w:r>
          </w:p>
        </w:tc>
        <w:tc>
          <w:tcPr>
            <w:tcW w:type="dxa" w:w="5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Lag between transaction event and availability in CRM: real-time feed versus batch upload.</w:t>
            </w:r>
          </w:p>
        </w:tc>
        <w:tc>
          <w:tcPr>
            <w:tcW w:type="dxa" w:w="21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color w:val="333333"/>
                <w:sz w:val="19"/>
                <w:szCs w:val="19"/>
              </w:rPr>
              <w:t xml:space="preserve">CRM technical documentation</w:t>
            </w:r>
          </w:p>
        </w:tc>
      </w:tr>
    </w:tbl>
    <w:p>
      <w:pPr>
        <w:spacing w:after="60"/>
      </w:pPr>
      <w:r>
        <w:rPr>
          <w:rFonts w:ascii="Arial" w:cs="Arial" w:eastAsia="Arial" w:hAnsi="Arial"/>
          <w:b/>
          <w:bCs/>
          <w:color w:val="222222"/>
          <w:sz w:val="21"/>
          <w:szCs w:val="21"/>
        </w:rPr>
        <w:t xml:space="preserve">Output:  </w:t>
      </w:r>
      <w:r>
        <w:rPr>
          <w:rFonts w:ascii="Arial" w:cs="Arial" w:eastAsia="Arial" w:hAnsi="Arial"/>
          <w:color w:val="222222"/>
          <w:sz w:val="21"/>
          <w:szCs w:val="21"/>
        </w:rPr>
        <w:t xml:space="preserve">Data and personalisation capability matrix. Technical documentation gaps to be escalated to the client IT lead.</w:t>
      </w:r>
    </w:p>
    <w:p>
      <w:pPr>
        <w:spacing w:after="100"/>
      </w:pPr>
    </w:p>
    <w:p>
      <w:pPr>
        <w:pBdr>
          <w:bottom w:val="single" w:color="1A3A5C" w:sz="6" w:space="4"/>
        </w:pBdr>
        <w:spacing w:after="120" w:before="280"/>
      </w:pPr>
      <w:r>
        <w:rPr>
          <w:rFonts w:ascii="Arial" w:cs="Arial" w:eastAsia="Arial" w:hAnsi="Arial"/>
          <w:b/>
          <w:bCs/>
          <w:color w:val="1A3A5C"/>
          <w:sz w:val="23"/>
          <w:szCs w:val="23"/>
        </w:rPr>
        <w:t xml:space="preserve">5.  Gap Protocol</w:t>
      </w:r>
    </w:p>
    <w:p>
      <w:pPr>
        <w:spacing w:after="160"/>
      </w:pPr>
      <w:r>
        <w:rPr>
          <w:rFonts w:ascii="Arial" w:cs="Arial" w:eastAsia="Arial" w:hAnsi="Arial"/>
          <w:color w:val="222222"/>
          <w:sz w:val="21"/>
          <w:szCs w:val="21"/>
        </w:rPr>
        <w:t xml:space="preserve">Where data required for a given criterion is unavailable at the time of assessment, the gap is to be noted explicitly within the relevant dimension. Each gap entry should record: (i) the criterion affected, (ii) the data source that was unavailable, and (iii) the proposed resolution — whether through a stakeholder data request, an alternative proxy, or escalation to the engagement manager. Gaps are not to be left blank or estimated without disclosure.</w:t>
      </w:r>
    </w:p>
    <w:p>
      <w:pPr>
        <w:pBdr>
          <w:bottom w:val="single" w:color="1A3A5C" w:sz="6" w:space="4"/>
        </w:pBdr>
        <w:spacing w:after="120" w:before="280"/>
      </w:pPr>
      <w:r>
        <w:rPr>
          <w:rFonts w:ascii="Arial" w:cs="Arial" w:eastAsia="Arial" w:hAnsi="Arial"/>
          <w:b/>
          <w:bCs/>
          <w:color w:val="1A3A5C"/>
          <w:sz w:val="23"/>
          <w:szCs w:val="23"/>
        </w:rPr>
        <w:t xml:space="preserve">6.  Output Specification</w:t>
      </w:r>
    </w:p>
    <w:p>
      <w:pPr>
        <w:spacing w:after="120"/>
      </w:pPr>
      <w:r>
        <w:rPr>
          <w:rFonts w:ascii="Arial" w:cs="Arial" w:eastAsia="Arial" w:hAnsi="Arial"/>
          <w:color w:val="222222"/>
          <w:sz w:val="21"/>
          <w:szCs w:val="21"/>
        </w:rPr>
        <w:t xml:space="preserve">The completed FreshRewards current-state assessment will be delivered as a structured Word document of approximately 15–20 pages. The document will comprise the following sections: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2400"/>
        <w:gridCol w:w="3760"/>
      </w:tblGrid>
      <w:tr>
        <w:tc>
          <w:tcPr>
            <w:tcW w:type="dxa" w:w="32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Deliverable Section</w:t>
            </w:r>
          </w:p>
        </w:tc>
        <w:tc>
          <w:tcPr>
            <w:tcW w:type="dxa" w:w="24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Format</w:t>
            </w:r>
          </w:p>
        </w:tc>
        <w:tc>
          <w:tcPr>
            <w:tcW w:type="dxa" w:w="376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3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bCs/>
                <w:color w:val="333333"/>
                <w:sz w:val="19"/>
                <w:szCs w:val="19"/>
              </w:rPr>
              <w:t xml:space="preserve">Reach &amp; activation scorecard</w:t>
            </w:r>
          </w:p>
        </w:tc>
        <w:tc>
          <w:tcPr>
            <w:tcW w:type="dxa" w:w="24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val="false"/>
                <w:bCs w:val="false"/>
                <w:color w:val="333333"/>
                <w:sz w:val="19"/>
                <w:szCs w:val="19"/>
              </w:rPr>
              <w:t xml:space="preserve">Metrics table with trend indicators</w:t>
            </w:r>
          </w:p>
        </w:tc>
        <w:tc>
          <w:tcPr>
            <w:tcW w:type="dxa" w:w="37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val="false"/>
                <w:bCs w:val="false"/>
                <w:color w:val="333333"/>
                <w:sz w:val="19"/>
                <w:szCs w:val="19"/>
              </w:rPr>
              <w:t xml:space="preserve">Trend data included where available</w:t>
            </w:r>
          </w:p>
        </w:tc>
      </w:tr>
      <w:tr>
        <w:tc>
          <w:tcPr>
            <w:tcW w:type="dxa" w:w="3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Digital engagement dashboard</w:t>
            </w:r>
          </w:p>
        </w:tc>
        <w:tc>
          <w:tcPr>
            <w:tcW w:type="dxa" w:w="24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Metrics table with MAU/DAU trend</w:t>
            </w:r>
          </w:p>
        </w:tc>
        <w:tc>
          <w:tcPr>
            <w:tcW w:type="dxa" w:w="37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Requires access to app analytics platform</w:t>
            </w:r>
          </w:p>
        </w:tc>
      </w:tr>
      <w:tr>
        <w:tc>
          <w:tcPr>
            <w:tcW w:type="dxa" w:w="3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bCs/>
                <w:color w:val="333333"/>
                <w:sz w:val="19"/>
                <w:szCs w:val="19"/>
              </w:rPr>
              <w:t xml:space="preserve">Proposition &amp; redemption scorecard</w:t>
            </w:r>
          </w:p>
        </w:tc>
        <w:tc>
          <w:tcPr>
            <w:tcW w:type="dxa" w:w="24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val="false"/>
                <w:bCs w:val="false"/>
                <w:color w:val="333333"/>
                <w:sz w:val="19"/>
                <w:szCs w:val="19"/>
              </w:rPr>
              <w:t xml:space="preserve">Metrics table</w:t>
            </w:r>
          </w:p>
        </w:tc>
        <w:tc>
          <w:tcPr>
            <w:tcW w:type="dxa" w:w="37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val="false"/>
                <w:bCs w:val="false"/>
                <w:color w:val="333333"/>
                <w:sz w:val="19"/>
                <w:szCs w:val="19"/>
              </w:rPr>
              <w:t xml:space="preserve">Points ledger access required</w:t>
            </w:r>
          </w:p>
        </w:tc>
      </w:tr>
      <w:tr>
        <w:tc>
          <w:tcPr>
            <w:tcW w:type="dxa" w:w="3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Partner ecosystem map</w:t>
            </w:r>
          </w:p>
        </w:tc>
        <w:tc>
          <w:tcPr>
            <w:tcW w:type="dxa" w:w="24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Contribution table + visual partner map</w:t>
            </w:r>
          </w:p>
        </w:tc>
        <w:tc>
          <w:tcPr>
            <w:tcW w:type="dxa" w:w="37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Partner agreement review required</w:t>
            </w:r>
          </w:p>
        </w:tc>
      </w:tr>
      <w:tr>
        <w:tc>
          <w:tcPr>
            <w:tcW w:type="dxa" w:w="3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bCs/>
                <w:color w:val="333333"/>
                <w:sz w:val="19"/>
                <w:szCs w:val="19"/>
              </w:rPr>
              <w:t xml:space="preserve">Programme economics summary</w:t>
            </w:r>
          </w:p>
        </w:tc>
        <w:tc>
          <w:tcPr>
            <w:tcW w:type="dxa" w:w="24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val="false"/>
                <w:bCs w:val="false"/>
                <w:color w:val="333333"/>
                <w:sz w:val="19"/>
                <w:szCs w:val="19"/>
              </w:rPr>
              <w:t xml:space="preserve">P&amp;L summary table</w:t>
            </w:r>
          </w:p>
        </w:tc>
        <w:tc>
          <w:tcPr>
            <w:tcW w:type="dxa" w:w="37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val="false"/>
                <w:bCs w:val="false"/>
                <w:color w:val="333333"/>
                <w:sz w:val="19"/>
                <w:szCs w:val="19"/>
              </w:rPr>
              <w:t xml:space="preserve">Partner funding detail required from finance</w:t>
            </w:r>
          </w:p>
        </w:tc>
      </w:tr>
      <w:tr>
        <w:tc>
          <w:tcPr>
            <w:tcW w:type="dxa" w:w="32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bCs/>
                <w:color w:val="333333"/>
                <w:sz w:val="19"/>
                <w:szCs w:val="19"/>
              </w:rPr>
              <w:t xml:space="preserve">Data &amp; personalisation matrix</w:t>
            </w:r>
          </w:p>
        </w:tc>
        <w:tc>
          <w:tcPr>
            <w:tcW w:type="dxa" w:w="240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Capability assessment matrix</w:t>
            </w:r>
          </w:p>
        </w:tc>
        <w:tc>
          <w:tcPr>
            <w:tcW w:type="dxa" w:w="3760"/>
            <w:tcBorders>
              <w:top w:val="none" w:color="FFFFFF" w:sz="0"/>
              <w:left w:val="none" w:color="FFFFFF" w:sz="0"/>
              <w:bottom w:val="none" w:color="FFFFFF" w:sz="0"/>
              <w:right w:val="none" w:color="FFFFFF" w:sz="0"/>
            </w:tcBorders>
            <w:shd w:fill="FFFFFF" w:val="clear"/>
            <w:tcMar>
              <w:top w:type="dxa" w:w="72"/>
              <w:left w:type="dxa" w:w="120"/>
              <w:bottom w:type="dxa" w:w="72"/>
              <w:right w:type="dxa" w:w="80"/>
            </w:tcMar>
          </w:tcPr>
          <w:p>
            <w:r>
              <w:rPr>
                <w:rFonts w:ascii="Arial" w:cs="Arial" w:eastAsia="Arial" w:hAnsi="Arial"/>
                <w:b w:val="false"/>
                <w:bCs w:val="false"/>
                <w:color w:val="333333"/>
                <w:sz w:val="19"/>
                <w:szCs w:val="19"/>
              </w:rPr>
              <w:t xml:space="preserve">IT documentation required</w:t>
            </w:r>
          </w:p>
        </w:tc>
      </w:tr>
      <w:tr>
        <w:tc>
          <w:tcPr>
            <w:tcW w:type="dxa" w:w="32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bCs/>
                <w:color w:val="333333"/>
                <w:sz w:val="19"/>
                <w:szCs w:val="19"/>
              </w:rPr>
              <w:t xml:space="preserve">Integrated assessment narrative</w:t>
            </w:r>
          </w:p>
        </w:tc>
        <w:tc>
          <w:tcPr>
            <w:tcW w:type="dxa" w:w="240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val="false"/>
                <w:bCs w:val="false"/>
                <w:color w:val="333333"/>
                <w:sz w:val="19"/>
                <w:szCs w:val="19"/>
              </w:rPr>
              <w:t xml:space="preserve">2–3 page written synthesis</w:t>
            </w:r>
          </w:p>
        </w:tc>
        <w:tc>
          <w:tcPr>
            <w:tcW w:type="dxa" w:w="3760"/>
            <w:tcBorders>
              <w:top w:val="none" w:color="FFFFFF" w:sz="0"/>
              <w:left w:val="none" w:color="FFFFFF" w:sz="0"/>
              <w:bottom w:val="none" w:color="FFFFFF" w:sz="0"/>
              <w:right w:val="none" w:color="FFFFFF" w:sz="0"/>
            </w:tcBorders>
            <w:shd w:fill="F2F5F9" w:val="clear"/>
            <w:tcMar>
              <w:top w:type="dxa" w:w="72"/>
              <w:left w:type="dxa" w:w="120"/>
              <w:bottom w:type="dxa" w:w="72"/>
              <w:right w:type="dxa" w:w="80"/>
            </w:tcMar>
          </w:tcPr>
          <w:p>
            <w:r>
              <w:rPr>
                <w:rFonts w:ascii="Arial" w:cs="Arial" w:eastAsia="Arial" w:hAnsi="Arial"/>
                <w:b w:val="false"/>
                <w:bCs w:val="false"/>
                <w:color w:val="333333"/>
                <w:sz w:val="19"/>
                <w:szCs w:val="19"/>
              </w:rPr>
              <w:t xml:space="preserve">Authored by manager; covers cross-dimension themes</w:t>
            </w:r>
          </w:p>
        </w:tc>
      </w:tr>
    </w:tbl>
    <w:p>
      <w:pPr>
        <w:spacing w:after="160"/>
      </w:pPr>
    </w:p>
    <w:p>
      <w:pPr>
        <w:pBdr>
          <w:top w:val="single" w:color="CCCCCC" w:sz="4" w:space="4"/>
        </w:pBdr>
        <w:spacing w:after="8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b/>
                <w:bCs/>
                <w:color w:val="555555"/>
                <w:sz w:val="18"/>
                <w:szCs w:val="18"/>
              </w:rPr>
              <w:t xml:space="preserve">Vantage Strategy</w:t>
            </w:r>
          </w:p>
          <w:p>
            <w:r>
              <w:rPr>
                <w:rFonts w:ascii="Arial" w:cs="Arial" w:eastAsia="Arial" w:hAnsi="Arial"/>
                <w:color w:val="888888"/>
                <w:sz w:val="17"/>
                <w:szCs w:val="17"/>
              </w:rPr>
              <w:t xml:space="preserve">Consulting</w:t>
            </w:r>
          </w:p>
        </w:tc>
        <w:tc>
          <w:tcPr>
            <w:tcW w:type="dxa" w:w="468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Arial" w:cs="Arial" w:eastAsia="Arial" w:hAnsi="Arial"/>
                <w:color w:val="888888"/>
                <w:sz w:val="17"/>
                <w:szCs w:val="17"/>
              </w:rPr>
              <w:t xml:space="preserve">Project Harvest  |  v1.0</w:t>
            </w:r>
          </w:p>
          <w:p>
            <w:pPr>
              <w:jc w:val="right"/>
            </w:pPr>
            <w:r>
              <w:rPr>
                <w:rFonts w:ascii="Arial" w:cs="Arial" w:eastAsia="Arial" w:hAnsi="Arial"/>
                <w:color w:val="888888"/>
                <w:sz w:val="17"/>
                <w:szCs w:val="17"/>
              </w:rPr>
              <w:t xml:space="preserve">June 2022</w:t>
            </w:r>
          </w:p>
        </w:tc>
      </w:tr>
    </w:tbl>
    <w:sectPr>
      <w:footerReference w:type="default" r:id="rId7"/>
      <w:pgSz w:w="12240" w:h="15840" w:orient="portrait"/>
      <w:pgMar w:top="1134" w:right="1260" w:bottom="1134"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7"/>
        <w:szCs w:val="17"/>
      </w:rPr>
      <w:t xml:space="preserve">Project Harvest  |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