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pPr>
      <w:r>
        <w:rPr>
          <w:rFonts w:ascii="Arial" w:cs="Arial" w:eastAsia="Arial" w:hAnsi="Arial"/>
          <w:color w:val="666666"/>
          <w:sz w:val="20"/>
          <w:szCs w:val="20"/>
        </w:rPr>
        <w:t xml:space="preserve">Aurelian &amp; Co.</w:t>
      </w:r>
    </w:p>
    <w:p>
      <w:pPr>
        <w:spacing w:after="60"/>
      </w:pPr>
      <w:r>
        <w:rPr>
          <w:rFonts w:ascii="Arial" w:cs="Arial" w:eastAsia="Arial" w:hAnsi="Arial"/>
          <w:b/>
          <w:bCs/>
          <w:color w:val="1B3A5C"/>
          <w:sz w:val="32"/>
          <w:szCs w:val="32"/>
        </w:rPr>
        <w:t xml:space="preserve">Product Teardown Methodology</w:t>
      </w:r>
    </w:p>
    <w:p>
      <w:pPr>
        <w:spacing w:after="40"/>
      </w:pPr>
      <w:r>
        <w:rPr>
          <w:rFonts w:ascii="Arial" w:cs="Arial" w:eastAsia="Arial" w:hAnsi="Arial"/>
          <w:color w:val="2E75B6"/>
          <w:sz w:val="22"/>
          <w:szCs w:val="22"/>
        </w:rPr>
        <w:t xml:space="preserve">Practice Note, Digital Products &amp; Platforms</w:t>
      </w:r>
    </w:p>
    <w:p>
      <w:pPr>
        <w:spacing w:after="200" w:line="276"/>
      </w:pPr>
      <w:r>
        <w:rPr>
          <w:rFonts w:ascii="Arial" w:cs="Arial" w:eastAsia="Arial" w:hAnsi="Arial"/>
          <w:i/>
          <w:iCs/>
          <w:color w:val="666666"/>
          <w:sz w:val="21"/>
          <w:szCs w:val="21"/>
        </w:rPr>
        <w:t xml:space="preserve">Internal reference document. Last updated by the Product Strategy practice.</w:t>
      </w:r>
    </w:p>
    <w:p>
      <w:pPr>
        <w:pStyle w:val="Heading1"/>
        <w:spacing w:after="120" w:before="200"/>
      </w:pPr>
      <w:r>
        <w:rPr>
          <w:rFonts w:ascii="Arial" w:cs="Arial" w:eastAsia="Arial" w:hAnsi="Arial"/>
          <w:b/>
          <w:bCs/>
          <w:color w:val="1B3A5C"/>
          <w:sz w:val="26"/>
          <w:szCs w:val="26"/>
        </w:rPr>
        <w:t xml:space="preserve">What is a product teardown?</w:t>
      </w:r>
    </w:p>
    <w:p>
      <w:pPr>
        <w:spacing w:after="100" w:line="276"/>
      </w:pPr>
      <w:r>
        <w:rPr>
          <w:rFonts w:ascii="Arial" w:cs="Arial" w:eastAsia="Arial" w:hAnsi="Arial"/>
          <w:sz w:val="21"/>
          <w:szCs w:val="21"/>
        </w:rPr>
        <w:t xml:space="preserve">A product teardown is a structured analysis of a competitor or benchmark product. It goes beyond listing features, it deconstructs how the product works, who it integrates with, what data it captures, how it makes money, and what design choices the operator made (and why). The output should give a client a grounded basis for their own product-design decisions.</w:t>
      </w:r>
    </w:p>
    <w:p>
      <w:pPr>
        <w:spacing w:after="100" w:line="276"/>
      </w:pPr>
      <w:r>
        <w:rPr>
          <w:rFonts w:ascii="Arial" w:cs="Arial" w:eastAsia="Arial" w:hAnsi="Arial"/>
          <w:sz w:val="21"/>
          <w:szCs w:val="21"/>
        </w:rPr>
        <w:t xml:space="preserve">A common failure mode is producing a feature-comparison table and calling it a teardown. A feature table is an input to the teardown, not the teardown itself. The analytical value comes from the dimensions that sit behind the features: why was the product built this way, what partnerships enable it, what data does the operator capture, and what are the economics.</w:t>
      </w:r>
    </w:p>
    <w:p>
      <w:pPr>
        <w:pStyle w:val="Heading1"/>
        <w:spacing w:after="120" w:before="240"/>
      </w:pPr>
      <w:r>
        <w:rPr>
          <w:rFonts w:ascii="Arial" w:cs="Arial" w:eastAsia="Arial" w:hAnsi="Arial"/>
          <w:b/>
          <w:bCs/>
          <w:color w:val="1B3A5C"/>
          <w:sz w:val="26"/>
          <w:szCs w:val="26"/>
        </w:rPr>
        <w:t xml:space="preserve">Standard teardown dimensions</w:t>
      </w:r>
    </w:p>
    <w:p>
      <w:pPr>
        <w:spacing w:after="100" w:line="276"/>
      </w:pPr>
      <w:r>
        <w:rPr>
          <w:rFonts w:ascii="Arial" w:cs="Arial" w:eastAsia="Arial" w:hAnsi="Arial"/>
          <w:sz w:val="21"/>
          <w:szCs w:val="21"/>
        </w:rPr>
        <w:t>The following dimensions form the standard framework. Not every teardown will weight all dimensions equally.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19"/>
                <w:szCs w:val="19"/>
              </w:rPr>
              <w:t xml:space="preserve">Dimension</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19"/>
                <w:szCs w:val="19"/>
              </w:rPr>
              <w:t xml:space="preserve">What it covers</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19"/>
                <w:szCs w:val="19"/>
              </w:rPr>
              <w:t xml:space="preserve">Typical methods</w:t>
            </w:r>
          </w:p>
        </w:tc>
      </w:tr>
      <w:tr>
        <w:tc>
          <w:tcPr>
            <w:tcW w:type="dxa" w:w="1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spacing w:after="40"/>
            </w:pPr>
            <w:r>
              <w:rPr>
                <w:rFonts w:ascii="Arial" w:cs="Arial" w:eastAsia="Arial" w:hAnsi="Arial"/>
                <w:color w:val="000000"/>
                <w:sz w:val="19"/>
                <w:szCs w:val="19"/>
              </w:rPr>
              <w:t xml:space="preserve">Functional inventory</w:t>
            </w:r>
          </w:p>
        </w:tc>
        <w:tc>
          <w:tcPr>
            <w:tcW w:type="dxa" w:w="378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spacing w:after="40"/>
            </w:pPr>
            <w:r>
              <w:rPr>
                <w:rFonts w:ascii="Arial" w:cs="Arial" w:eastAsia="Arial" w:hAnsi="Arial"/>
                <w:color w:val="000000"/>
                <w:sz w:val="19"/>
                <w:szCs w:val="19"/>
              </w:rPr>
              <w:t xml:space="preserve">Complete feature map of the product. What it does, screen by screen. This is the foundation, necessary but not sufficient.</w:t>
            </w:r>
          </w:p>
        </w:tc>
        <w:tc>
          <w:tcPr>
            <w:tcW w:type="dxa" w:w="378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spacing w:after="40"/>
            </w:pPr>
            <w:r>
              <w:rPr>
                <w:rFonts w:ascii="Arial" w:cs="Arial" w:eastAsia="Arial" w:hAnsi="Arial"/>
                <w:color w:val="000000"/>
                <w:sz w:val="19"/>
                <w:szCs w:val="19"/>
              </w:rPr>
              <w:t xml:space="preserve">First-hand app walkthrough; app-store feature listings; product documentation; published reviews.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000000"/>
                <w:sz w:val="19"/>
                <w:szCs w:val="19"/>
              </w:rPr>
              <w:t xml:space="preserve">UX walkthrough</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000000"/>
                <w:sz w:val="19"/>
                <w:szCs w:val="19"/>
              </w:rPr>
              <w:t xml:space="preserve">End-to-end user experience: onboarding, core flows, error handling, edge cases. Focus on friction points and design choices.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000000"/>
                <w:sz w:val="19"/>
                <w:szCs w:val="19"/>
              </w:rPr>
              <w:t xml:space="preserve">First-hand use of the product. Capture screenshots and flows. Note where the experience is smooth vs. where it breaks.</w:t>
            </w:r>
          </w:p>
        </w:tc>
      </w:tr>
      <w:tr>
        <w:tc>
          <w:tcPr>
            <w:tcW w:type="dxa" w:w="1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spacing w:after="40"/>
            </w:pPr>
            <w:r>
              <w:rPr>
                <w:rFonts w:ascii="Arial" w:cs="Arial" w:eastAsia="Arial" w:hAnsi="Arial"/>
                <w:color w:val="000000"/>
                <w:sz w:val="19"/>
                <w:szCs w:val="19"/>
              </w:rPr>
              <w:t xml:space="preserve">Technical architecture inference</w:t>
            </w:r>
          </w:p>
        </w:tc>
        <w:tc>
          <w:tcPr>
            <w:tcW w:type="dxa" w:w="378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spacing w:after="40"/>
            </w:pPr>
            <w:r>
              <w:rPr>
                <w:rFonts w:ascii="Arial" w:cs="Arial" w:eastAsia="Arial" w:hAnsi="Arial"/>
                <w:color w:val="000000"/>
                <w:sz w:val="19"/>
                <w:szCs w:val="19"/>
              </w:rPr>
              <w:t xml:space="preserve">Inferred technology choices: native vs. hybrid, payment rails, offline capability, third-party SDKs, API patterns. Not reverse-engineering, pattern recognition from observable behaviour.</w:t>
            </w:r>
          </w:p>
        </w:tc>
        <w:tc>
          <w:tcPr>
            <w:tcW w:type="dxa" w:w="378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spacing w:after="40"/>
            </w:pPr>
            <w:r>
              <w:rPr>
                <w:rFonts w:ascii="Arial" w:cs="Arial" w:eastAsia="Arial" w:hAnsi="Arial"/>
                <w:color w:val="000000"/>
                <w:sz w:val="19"/>
                <w:szCs w:val="19"/>
              </w:rPr>
              <w:t xml:space="preserve">App behaviour observation (loading patterns, offline capability, error messages). Public developer documentation. Job postings (tech stack clues). Published technical blog posts.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000000"/>
                <w:sz w:val="19"/>
                <w:szCs w:val="19"/>
              </w:rPr>
              <w:t xml:space="preserve">Partnership stack mapping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000000"/>
                <w:sz w:val="19"/>
                <w:szCs w:val="19"/>
              </w:rPr>
              <w:t xml:space="preserve">Who is the product integrated with? Merchants, banks, payment processors, government services, loyalty partners. How are partnerships structured?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000000"/>
                <w:sz w:val="19"/>
                <w:szCs w:val="19"/>
              </w:rPr>
              <w:t xml:space="preserve">In-app partner branding. Co-branded press releases. Regulatory filings (particularly for financial products). Merchant-facing materials. Expert interviews.</w:t>
            </w:r>
          </w:p>
        </w:tc>
      </w:tr>
      <w:tr>
        <w:tc>
          <w:tcPr>
            <w:tcW w:type="dxa" w:w="1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spacing w:after="40"/>
            </w:pPr>
            <w:r>
              <w:rPr>
                <w:rFonts w:ascii="Arial" w:cs="Arial" w:eastAsia="Arial" w:hAnsi="Arial"/>
                <w:color w:val="000000"/>
                <w:sz w:val="19"/>
                <w:szCs w:val="19"/>
              </w:rPr>
              <w:t xml:space="preserve">Customer data architecture</w:t>
            </w:r>
          </w:p>
        </w:tc>
        <w:tc>
          <w:tcPr>
            <w:tcW w:type="dxa" w:w="378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spacing w:after="40"/>
            </w:pPr>
            <w:r>
              <w:rPr>
                <w:rFonts w:ascii="Arial" w:cs="Arial" w:eastAsia="Arial" w:hAnsi="Arial"/>
                <w:color w:val="000000"/>
                <w:sz w:val="19"/>
                <w:szCs w:val="19"/>
              </w:rPr>
              <w:t xml:space="preserve">What data does the product capture (transaction-level, behavioural, location, third-party)? Where does it reside? Who owns it? How does it feed other parts of the business?</w:t>
            </w:r>
          </w:p>
        </w:tc>
        <w:tc>
          <w:tcPr>
            <w:tcW w:type="dxa" w:w="378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spacing w:after="40"/>
            </w:pPr>
            <w:r>
              <w:rPr>
                <w:rFonts w:ascii="Arial" w:cs="Arial" w:eastAsia="Arial" w:hAnsi="Arial"/>
                <w:color w:val="000000"/>
                <w:sz w:val="19"/>
                <w:szCs w:val="19"/>
              </w:rPr>
              <w:t xml:space="preserve">Observable data-capture points in the UX. Privacy policies and terms of service. Published data-strategy statements. Regulatory filings. Inference from product behaviour.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000000"/>
                <w:sz w:val="19"/>
                <w:szCs w:val="19"/>
              </w:rPr>
              <w:t xml:space="preserve">Monetisation model</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000000"/>
                <w:sz w:val="19"/>
                <w:szCs w:val="19"/>
              </w:rPr>
              <w:t xml:space="preserve">How does the operator make money from the product? Direct revenue (fees, interchange, subscriptions) vs. indirect value (customer retention, data, cross-sell). What are the unit economics?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000000"/>
                <w:sz w:val="19"/>
                <w:szCs w:val="19"/>
              </w:rPr>
              <w:t xml:space="preserve">Published financials. Analyst reports. Investor presentations. Merchant-facing pricing. Inference from product behaviour (e.g., visible transaction fees).</w:t>
            </w:r>
          </w:p>
        </w:tc>
      </w:tr>
    </w:tbl>
    <w:p>
      <w:pPr>
        <w:pStyle w:val="Heading1"/>
        <w:spacing w:after="120" w:before="240"/>
      </w:pPr>
      <w:r>
        <w:rPr>
          <w:rFonts w:ascii="Arial" w:cs="Arial" w:eastAsia="Arial" w:hAnsi="Arial"/>
          <w:b/>
          <w:bCs/>
          <w:color w:val="1B3A5C"/>
          <w:sz w:val="26"/>
          <w:szCs w:val="26"/>
        </w:rPr>
        <w:t xml:space="preserve">Common pitfalls</w:t>
      </w:r>
    </w:p>
    <w:p>
      <w:pPr>
        <w:pStyle w:val="ListParagraph"/>
        <w:numPr>
          <w:ilvl w:val="0"/>
          <w:numId w:val="2"/>
        </w:numPr>
        <w:spacing w:after="60" w:line="260"/>
      </w:pPr>
      <w:r>
        <w:rPr>
          <w:rFonts w:ascii="Arial" w:cs="Arial" w:eastAsia="Arial" w:hAnsi="Arial"/>
          <w:b/>
          <w:bCs/>
          <w:sz w:val="21"/>
          <w:szCs w:val="21"/>
        </w:rPr>
        <w:t xml:space="preserve">Feature-table syndrome: </w:t>
      </w:r>
      <w:r>
        <w:rPr>
          <w:rFonts w:ascii="Arial" w:cs="Arial" w:eastAsia="Arial" w:hAnsi="Arial"/>
          <w:sz w:val="21"/>
          <w:szCs w:val="21"/>
        </w:rPr>
        <w:t xml:space="preserve">producing a side-by-side feature comparison and stopping there. Features are the visible surface; the teardown should expose the structure underneath.</w:t>
      </w:r>
    </w:p>
    <w:p>
      <w:pPr>
        <w:pStyle w:val="ListParagraph"/>
        <w:numPr>
          <w:ilvl w:val="0"/>
          <w:numId w:val="2"/>
        </w:numPr>
        <w:spacing w:after="60" w:line="260"/>
      </w:pPr>
      <w:r>
        <w:rPr>
          <w:rFonts w:ascii="Arial" w:cs="Arial" w:eastAsia="Arial" w:hAnsi="Arial"/>
          <w:b/>
          <w:bCs/>
          <w:sz w:val="21"/>
          <w:szCs w:val="21"/>
        </w:rPr>
        <w:t xml:space="preserve">Ignoring access constraints: </w:t>
      </w:r>
      <w:r>
        <w:rPr>
          <w:rFonts w:ascii="Arial" w:cs="Arial" w:eastAsia="Arial" w:hAnsi="Arial"/>
          <w:sz w:val="21"/>
          <w:szCs w:val="21"/>
        </w:rPr>
        <w:t xml:space="preserve">some products require local phone numbers, national IDs, or geographic presence to access. Plan the methodology around what's actually achievable, not what's theoretically ideal.</w:t>
      </w:r>
    </w:p>
    <w:p>
      <w:pPr>
        <w:pStyle w:val="ListParagraph"/>
        <w:numPr>
          <w:ilvl w:val="0"/>
          <w:numId w:val="2"/>
        </w:numPr>
        <w:spacing w:after="60" w:line="260"/>
      </w:pPr>
      <w:r>
        <w:rPr>
          <w:rFonts w:ascii="Arial" w:cs="Arial" w:eastAsia="Arial" w:hAnsi="Arial"/>
          <w:b/>
          <w:bCs/>
          <w:sz w:val="21"/>
          <w:szCs w:val="21"/>
        </w:rPr>
        <w:t xml:space="preserve">Disconnected findings: </w:t>
      </w:r>
      <w:r>
        <w:rPr>
          <w:rFonts w:ascii="Arial" w:cs="Arial" w:eastAsia="Arial" w:hAnsi="Arial"/>
          <w:sz w:val="21"/>
          <w:szCs w:val="21"/>
        </w:rPr>
        <w:t xml:space="preserve">each teardown finding should map to a design decision the client faces. If a finding doesn't connect to a decision, it's interesting context, not analysis.</w:t>
      </w:r>
    </w:p>
    <w:p>
      <w:pPr>
        <w:pStyle w:val="ListParagraph"/>
        <w:numPr>
          <w:ilvl w:val="0"/>
          <w:numId w:val="2"/>
        </w:numPr>
        <w:spacing w:after="60" w:line="260"/>
      </w:pPr>
      <w:r>
        <w:rPr>
          <w:rFonts w:ascii="Arial" w:cs="Arial" w:eastAsia="Arial" w:hAnsi="Arial"/>
          <w:b/>
          <w:bCs/>
          <w:sz w:val="21"/>
          <w:szCs w:val="21"/>
        </w:rPr>
        <w:t xml:space="preserve">Overclaiming on opaque dimensions: </w:t>
      </w:r>
      <w:r>
        <w:rPr>
          <w:rFonts w:ascii="Arial" w:cs="Arial" w:eastAsia="Arial" w:hAnsi="Arial"/>
          <w:sz w:val="21"/>
          <w:szCs w:val="21"/>
        </w:rPr>
        <w:t xml:space="preserve">partnership economics and data architecture are partially opaque. Flag confidence levels on every finding rather than presenting inferences as facts.</w:t>
      </w:r>
    </w:p>
    <w:p>
      <w:pPr>
        <w:pStyle w:val="Heading1"/>
        <w:spacing w:after="120" w:before="240"/>
      </w:pPr>
      <w:r>
        <w:rPr>
          <w:rFonts w:ascii="Arial" w:cs="Arial" w:eastAsia="Arial" w:hAnsi="Arial"/>
          <w:b/>
          <w:bCs/>
          <w:color w:val="1B3A5C"/>
          <w:sz w:val="26"/>
          <w:szCs w:val="26"/>
        </w:rPr>
        <w:t xml:space="preserve">Output standards</w:t>
      </w:r>
    </w:p>
    <w:p>
      <w:pPr>
        <w:spacing w:after="100" w:line="276"/>
      </w:pPr>
      <w:r>
        <w:rPr>
          <w:rFonts w:ascii="Arial" w:cs="Arial" w:eastAsia="Arial" w:hAnsi="Arial"/>
          <w:sz w:val="21"/>
          <w:szCs w:val="21"/>
        </w:rPr>
        <w:t xml:space="preserve">A teardown deliverable typically consists of:</w:t>
      </w:r>
    </w:p>
    <w:p>
      <w:pPr>
        <w:pStyle w:val="ListParagraph"/>
        <w:numPr>
          <w:ilvl w:val="0"/>
          <w:numId w:val="2"/>
        </w:numPr>
        <w:spacing w:after="60" w:line="260"/>
      </w:pPr>
      <w:r>
        <w:rPr>
          <w:rFonts w:ascii="Arial" w:cs="Arial" w:eastAsia="Arial" w:hAnsi="Arial"/>
          <w:b/>
          <w:bCs/>
          <w:sz w:val="21"/>
          <w:szCs w:val="21"/>
        </w:rPr>
        <w:t xml:space="preserve">Synthesis memo: </w:t>
      </w:r>
      <w:r>
        <w:rPr>
          <w:rFonts w:ascii="Arial" w:cs="Arial" w:eastAsia="Arial" w:hAnsi="Arial"/>
          <w:sz w:val="21"/>
          <w:szCs w:val="21"/>
        </w:rPr>
        <w:t xml:space="preserve">written document with comparator profiles and cross-comparator analysis. Lead with the strategic dimensions, not the feature list.</w:t>
      </w:r>
    </w:p>
    <w:p>
      <w:pPr>
        <w:pStyle w:val="ListParagraph"/>
        <w:numPr>
          <w:ilvl w:val="0"/>
          <w:numId w:val="2"/>
        </w:numPr>
        <w:spacing w:after="60" w:line="260"/>
      </w:pPr>
      <w:r>
        <w:rPr>
          <w:rFonts w:ascii="Arial" w:cs="Arial" w:eastAsia="Arial" w:hAnsi="Arial"/>
          <w:b/>
          <w:bCs/>
          <w:sz w:val="21"/>
          <w:szCs w:val="21"/>
        </w:rPr>
        <w:t xml:space="preserve">Screenshots and flows appendix: </w:t>
      </w:r>
      <w:r>
        <w:rPr>
          <w:rFonts w:ascii="Arial" w:cs="Arial" w:eastAsia="Arial" w:hAnsi="Arial"/>
          <w:sz w:val="21"/>
          <w:szCs w:val="21"/>
        </w:rPr>
        <w:t xml:space="preserve">annotated screenshots of key UX flows. Visual evidence, not decoration.</w:t>
      </w:r>
    </w:p>
    <w:p>
      <w:pPr>
        <w:pStyle w:val="ListParagraph"/>
        <w:numPr>
          <w:ilvl w:val="0"/>
          <w:numId w:val="2"/>
        </w:numPr>
        <w:spacing w:after="60" w:line="260"/>
      </w:pPr>
      <w:r>
        <w:rPr>
          <w:rFonts w:ascii="Arial" w:cs="Arial" w:eastAsia="Arial" w:hAnsi="Arial"/>
          <w:b/>
          <w:bCs/>
          <w:sz w:val="21"/>
          <w:szCs w:val="21"/>
        </w:rPr>
        <w:t xml:space="preserve">Cross-comparator matrix: </w:t>
      </w:r>
      <w:r>
        <w:rPr>
          <w:rFonts w:ascii="Arial" w:cs="Arial" w:eastAsia="Arial" w:hAnsi="Arial"/>
          <w:sz w:val="21"/>
          <w:szCs w:val="21"/>
        </w:rPr>
        <w:t xml:space="preserve">structured comparison across dimensions. Include confidence-level flags (Confirmed / Inferred / Unclear).</w:t>
      </w:r>
    </w:p>
    <w:p>
      <w:pPr>
        <w:spacing w:after="100" w:line="276"/>
      </w:pPr>
      <w:r>
        <w:rPr>
          <w:rFonts w:ascii="Arial" w:cs="Arial" w:eastAsia="Arial" w:hAnsi="Arial"/>
          <w:sz w:val="21"/>
          <w:szCs w:val="21"/>
        </w:rPr>
        <w:t xml:space="preserve">The scoping brief defines the specific output format for each engagement.</w:t>
      </w:r>
    </w:p>
    <w:p>
      <w:pPr>
        <w:spacing w:before="300"/>
      </w:pPr>
      <w:r>
        <w:rPr>
          <w:rFonts w:ascii="Arial" w:cs="Arial" w:eastAsia="Arial" w:hAnsi="Arial"/>
          <w:i/>
          <w:iCs/>
          <w:color w:val="666666"/>
          <w:sz w:val="19"/>
          <w:szCs w:val="19"/>
        </w:rPr>
        <w:t xml:space="preserve">This practice note provides the standard framework. Each engagement's scoping brief should adapt, weight, and extend the dimensions as appropriate to the strategic question.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Product Teardown Methodology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i/>
        <w:iCs/>
        <w:color w:val="666666"/>
        <w:sz w:val="16"/>
        <w:szCs w:val="16"/>
      </w:rPr>
      <w:t xml:space="preserve">Aurelian &amp; Co., Internal Practice Note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