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i w:val="0"/>
          <w:sz w:val="24"/>
        </w:rPr>
        <w:t>INTERNAL MEMORANDUM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2"/>
        </w:rPr>
        <w:t xml:space="preserve">To:     Marcus Whelan, Partner - Aurelian &amp; Co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2"/>
        </w:rPr>
        <w:t>From:   Hendra Wijaya, CFO, PetroNusa Tbk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2"/>
        </w:rPr>
        <w:t>Date:   28 April 2025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2"/>
        </w:rPr>
        <w:t>Re:     P13 - Digital Wallet Sourcing</w:t>
      </w:r>
    </w:p>
    <w:p>
      <w:pPr>
        <w:spacing w:before="80" w:after="120"/>
        <w:pBdr>
          <w:bottom w:val="single" w:sz="6" w:space="1" w:color="999999"/>
        </w:pBdr>
      </w:pP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sz w:val="22"/>
        </w:rPr>
        <w:t xml:space="preserve">Marcus - I have reviewed the P10 findings. The DODO readiness gap is worse than I expected but manageable if we phase the terminal upgrades. On the sourcing question: my instinct is that we should build. Perpetual transaction fees will erode our unit economics as wallet volume scales - I have seen this eat 60-80 basis points of fuel margin at comparable networks. The long-term P&amp;L case for ownership is clear.</w:t>
      </w:r>
    </w:p>
    <w:p>
      <w:pPr>
        <w:spacing w:before="40" w:after="160"/>
        <w:jc w:val="left"/>
      </w:pPr>
      <w:r>
        <w:rPr>
          <w:rFonts w:ascii="Calibri" w:hAnsi="Calibri"/>
          <w:b w:val="0"/>
          <w:i w:val="0"/>
          <w:sz w:val="22"/>
        </w:rPr>
        <w:t xml:space="preserve">I spoke informally with Pak Yusuf Hadi's team and with IT last week. Their estimate for the build is in the range of SRP 180-200 bn all-in over five years - that is significantly below what I would expect a long-term partner relationship to cost once you factor in volume-scaled fees at 20%+ adoption. Happy to be challenged on this if the model says otherwise, but the starting assumption should be build unless there is a compelling reason not to.</w:t>
      </w:r>
    </w:p>
    <w:p>
      <w:pPr>
        <w:spacing w:before="40" w:after="200"/>
        <w:jc w:val="left"/>
      </w:pPr>
      <w:r>
        <w:rPr>
          <w:rFonts w:ascii="Calibri" w:hAnsi="Calibri"/>
          <w:b w:val="0"/>
          <w:i w:val="0"/>
          <w:sz w:val="22"/>
        </w:rPr>
        <w:t xml:space="preserve">P.S. Board approval is targeted for SC-4 (12 June). Rashidi Othman will want a clear risk frame alongside the recommendation - make sure the downside scenarios are explicit. Do NOT soft-pedal the build timeline risk.</w:t>
      </w:r>
    </w:p>
    <w:p>
      <w:pPr>
        <w:spacing w:before="0" w:after="320"/>
        <w:jc w:val="left"/>
      </w:pPr>
      <w:r>
        <w:rPr>
          <w:rFonts w:ascii="Calibri" w:hAnsi="Calibri"/>
          <w:b/>
          <w:i w:val="0"/>
          <w:sz w:val="22"/>
        </w:rPr>
        <w:t>HW</w:t>
      </w:r>
    </w:p>
    <w:p>
      <w:pPr>
        <w:spacing w:before="80" w:after="120"/>
        <w:pBdr>
          <w:bottom w:val="single" w:sz="6" w:space="1" w:color="999999"/>
        </w:pBdr>
      </w:pPr>
    </w:p>
    <w:p>
      <w:pPr>
        <w:spacing w:before="80" w:after="0"/>
        <w:jc w:val="center"/>
      </w:pPr>
      <w:r>
        <w:rPr>
          <w:rFonts w:ascii="Calibri" w:hAnsi="Calibri"/>
          <w:i/>
          <w:color w:val="888888"/>
          <w:sz w:val="16"/>
        </w:rPr>
        <w:t xml:space="preserve">Forwarded by Marcus Whelan to Citra Widyastuti  |  29 April 2025  |  Strictly internal - not for distribution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i/>
        <w:color w:val="AAAAAA"/>
        <w:sz w:val="18"/>
      </w:rPr>
      <w:t>DRAFT -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