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b/>
          <w:caps/>
          <w:color w:val="E8872A"/>
          <w:sz w:val="18"/>
        </w:rPr>
        <w:t>INTERNAL EMAIL / WORKING NOTE</w:t>
      </w:r>
    </w:p>
    <w:p>
      <w:pPr>
        <w:spacing w:before="0" w:after="160"/>
        <w:pBdr>
          <w:bottom w:val="single" w:sz="6" w:space="1" w:color="1A3557"/>
        </w:pBdr>
      </w:pPr>
    </w:p>
    <w:p>
      <w:pPr>
        <w:spacing w:before="0" w:after="40"/>
      </w:pPr>
      <w:r>
        <w:rPr>
          <w:b/>
          <w:color w:val="1A3557"/>
          <w:sz w:val="21"/>
        </w:rPr>
        <w:t xml:space="preserve">From:     Marcus Whelan (Partner, Aurelian &amp; Co)</w:t>
      </w:r>
      <w:r>
        <w:rPr>
          <w:sz w:val="21"/>
        </w:rPr>
      </w:r>
    </w:p>
    <w:p>
      <w:pPr>
        <w:spacing w:before="0" w:after="40"/>
      </w:pPr>
      <w:r>
        <w:rPr>
          <w:b/>
          <w:color w:val="1A3557"/>
          <w:sz w:val="21"/>
        </w:rPr>
        <w:t xml:space="preserve">To:       Citra Widyastuti (Analyst, Aurelian &amp; Co)  |  cc: Priya Nair (Engagement Manager)</w:t>
      </w:r>
      <w:r>
        <w:rPr>
          <w:sz w:val="21"/>
        </w:rPr>
      </w:r>
    </w:p>
    <w:p>
      <w:pPr>
        <w:spacing w:before="0" w:after="40"/>
      </w:pPr>
      <w:r>
        <w:rPr>
          <w:b/>
          <w:color w:val="1A3557"/>
          <w:sz w:val="21"/>
        </w:rPr>
        <w:t xml:space="preserve">Date:     Monday, 3 March 2025</w:t>
      </w:r>
      <w:r>
        <w:rPr>
          <w:sz w:val="21"/>
        </w:rPr>
        <w:t/>
      </w:r>
    </w:p>
    <w:p>
      <w:pPr>
        <w:spacing w:before="0" w:after="40"/>
      </w:pPr>
      <w:r>
        <w:rPr>
          <w:b/>
          <w:color w:val="1A3557"/>
          <w:sz w:val="21"/>
        </w:rPr>
        <w:t xml:space="preserve">Subject:  </w:t>
      </w:r>
      <w:r>
        <w:rPr>
          <w:sz w:val="21"/>
        </w:rPr>
        <w:t>P10 kickoff - payments estate</w:t>
      </w:r>
    </w:p>
    <w:p>
      <w:pPr>
        <w:spacing w:before="0" w:after="160"/>
        <w:pBdr>
          <w:bottom w:val="single" w:sz="6" w:space="1" w:color="1A3557"/>
        </w:pBdr>
      </w:pPr>
    </w:p>
    <w:p>
      <w:pPr>
        <w:spacing w:before="0" w:after="60"/>
      </w:pPr>
      <w:r>
        <w:rPr>
          <w:sz w:val="21"/>
        </w:rPr>
        <w:t xml:space="preserve">Citra,</w:t>
      </w:r>
    </w:p>
    <w:p>
      <w:pPr>
        <w:spacing w:before="0" w:after="0"/>
      </w:pPr>
    </w:p>
    <w:p>
      <w:pPr>
        <w:spacing w:before="0" w:after="60"/>
      </w:pPr>
      <w:r>
        <w:rPr>
          <w:sz w:val="21"/>
        </w:rPr>
        <w:t xml:space="preserve">Eight weeks in and the diagnostic phase wraps at the end of the month. P10 is the last piece before we move to sourcing. I need a clean current-state picture of the payments and acceptance estate -- nothing forward-looking.</w:t>
      </w:r>
    </w:p>
    <w:p>
      <w:pPr>
        <w:spacing w:before="0" w:after="0"/>
      </w:pPr>
    </w:p>
    <w:p>
      <w:pPr>
        <w:spacing w:before="0" w:after="60"/>
      </w:pPr>
      <w:r>
        <w:rPr>
          <w:sz w:val="21"/>
        </w:rPr>
        <w:t>Specifically: catalogue how transactions are accepted across the 620 stations (cash, card, e-wallet, fleet), cut the terminal picture by COCO vs DODO ownership and geography, work out what acceptance costs actually are on a blended basis (fee schedule and volume data are in the data room), and give me a structured gap read against what a wallet-ready station looks like and how we compare to ArthaFuel and KhatuFuel digitally.</w:t>
      </w:r>
    </w:p>
    <w:p>
      <w:pPr>
        <w:spacing w:before="0" w:after="0"/>
      </w:pPr>
    </w:p>
    <w:p>
      <w:pPr>
        <w:spacing w:before="0" w:after="60"/>
      </w:pPr>
      <w:r>
        <w:rPr>
          <w:sz w:val="21"/>
        </w:rPr>
        <w:t>Keep this strictly diagnostic -- Hendra and the board use it as foundation for the sourcing decision in P13, so no build/partner/hybrid steer here. My rough sense is roughly two-thirds of the estate is reasonably set up, but check the data properly before you conclude.</w:t>
      </w:r>
    </w:p>
    <w:p>
      <w:pPr>
        <w:spacing w:before="0" w:after="0"/>
      </w:pPr>
    </w:p>
    <w:p>
      <w:pPr>
        <w:spacing w:before="0" w:after="60"/>
      </w:pPr>
      <w:r>
        <w:rPr>
          <w:sz w:val="21"/>
        </w:rPr>
        <w:t>Deliverable: a SteerCo-ready assessment deck and a data workbook backing up the numbers. Draft to me by Thursday.</w:t>
      </w:r>
    </w:p>
    <w:p>
      <w:pPr>
        <w:spacing w:before="0" w:after="0"/>
      </w:pPr>
    </w:p>
    <w:p>
      <w:pPr>
        <w:spacing w:before="0" w:after="60"/>
      </w:pPr>
      <w:r>
        <w:rPr>
          <w:sz w:val="21"/>
        </w:rPr>
        <w:t xml:space="preserve">Marcus</w:t>
      </w:r>
    </w:p>
    <w:p/>
    <w:p>
      <w:pPr>
        <w:spacing w:before="0" w:after="160"/>
        <w:pBdr>
          <w:bottom w:val="single" w:sz="6" w:space="1" w:color="1A3557"/>
        </w:pBdr>
      </w:pPr>
    </w:p>
    <w:p>
      <w:pPr>
        <w:pStyle w:val="ListBullet"/>
        <w:spacing w:before="40" w:after="60"/>
        <w:ind w:left="360"/>
      </w:pPr>
      <w:r>
        <w:rPr>
          <w:b/>
          <w:color w:val="1A3557"/>
          <w:sz w:val="21"/>
        </w:rPr>
        <w:t xml:space="preserve">Pending: Dani Setiawan's cross-check on regional breakdowns.</w:t>
      </w:r>
      <w:r>
        <w:rPr>
          <w:sz w:val="21"/>
        </w:rPr>
      </w:r>
    </w:p>
    <w:p/>
    <w:sectPr w:rsidR="00FC693F" w:rsidRPr="0006063C" w:rsidSect="00034616">
      <w:footerReference w:type="default" r:id="rId9"/>
      <w:headerReference w:type="default" r:id="rId10"/>
      <w:headerReference w:type="first" r:id="rId11"/>
      <w:footerReference w:type="firs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color w:val="1A3557"/>
        <w:sz w:val="16"/>
      </w:rPr>
      <w:t>Aurelian &amp; Co  |  PetroNusa Digital Strategy  |  CONFIDENTIAL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/>
      <mc:AlternateContent>
        <mc:Choice Requires="wps">
          <w:drawing>
            <wp:anchor distT="0" distB="0" distL="0" distR="0" simplePos="0" relativeHeight="251658240" behindDoc="1" locked="0" layoutInCell="1" allowOverlap="1">
              <wp:simplePos x="0" y="0"/>
              <wp:positionH relativeFrom="page">
                <wp:posOffset>1800000</wp:posOffset>
              </wp:positionH>
              <wp:positionV relativeFrom="page">
                <wp:posOffset>2200000</wp:posOffset>
              </wp:positionV>
              <wp:extent cx="5800000" cy="3200000"/>
              <wp:effectExtent l="0" t="0" r="0" b="0"/>
              <wp:wrapNone/>
              <wp:docPr id="1" name="DraftWatermark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>
                      <a:xfrm rot="16200000">
                        <a:off x="1800000" y="2200000"/>
                        <a:ext cx="5800000" cy="320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rPr>
                              <w:rFonts w:ascii="Calibri" w:hAnsi="Calibri"/>
                              <w:b/>
                              <w:color w:val="CCCCCC"/>
                              <w:sz w:val="144"/>
                              <w:szCs w:val="144"/>
                            </w:rPr>
                            <w:t>DRAFT</w:t>
                          </w:r>
                        </w:p>
                      </w:txbxContent>
                    </wps:txbx>
                    <wps:bodyPr rot="0" vert="horz" wrap="square" lIns="91440" rIns="91440" tIns="45720" bIns="45720" anchor="ctr" anchorCtr="0"/>
                  </wps:wsp>
                </a:graphicData>
              </a:graphic>
            </wp:anchor>
          </w:drawing>
        </mc:Choice>
      </mc:AlternateConten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